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D398B" w14:textId="77777777" w:rsidR="00354108" w:rsidRDefault="00354108" w:rsidP="00F775BE">
      <w:pPr>
        <w:spacing w:after="0" w:line="237" w:lineRule="auto"/>
        <w:ind w:left="0" w:firstLine="0"/>
        <w:jc w:val="left"/>
        <w:rPr>
          <w:sz w:val="44"/>
        </w:rPr>
      </w:pPr>
    </w:p>
    <w:p w14:paraId="35C45F2F" w14:textId="0E1B60FE" w:rsidR="00C36620" w:rsidRDefault="00F4266F" w:rsidP="00354108">
      <w:pPr>
        <w:spacing w:after="0" w:line="259" w:lineRule="auto"/>
        <w:ind w:left="373" w:firstLine="0"/>
        <w:jc w:val="center"/>
      </w:pPr>
      <w:r w:rsidRPr="00F4266F">
        <w:rPr>
          <w:rFonts w:ascii="Baskerville Old Face" w:hAnsi="Baskerville Old Face"/>
          <w:sz w:val="44"/>
        </w:rPr>
        <w:t>Market Dynamics and Competitive Strategy in the Medical Device Industry: Structure, Innovation, and Power</w:t>
      </w:r>
    </w:p>
    <w:p w14:paraId="5EFB8336" w14:textId="77777777" w:rsidR="00F4266F" w:rsidRDefault="00F4266F" w:rsidP="00354108">
      <w:pPr>
        <w:spacing w:after="0" w:line="259" w:lineRule="auto"/>
        <w:ind w:left="373" w:firstLine="0"/>
        <w:jc w:val="center"/>
      </w:pPr>
    </w:p>
    <w:p w14:paraId="498467B0" w14:textId="3C502252" w:rsidR="00354108" w:rsidRDefault="00F4266F" w:rsidP="00354108">
      <w:pPr>
        <w:spacing w:after="34" w:line="259" w:lineRule="auto"/>
        <w:ind w:left="304" w:firstLine="0"/>
        <w:jc w:val="center"/>
        <w:rPr>
          <w:rFonts w:ascii="Baskerville Old Face" w:hAnsi="Baskerville Old Face"/>
          <w:iCs/>
          <w:sz w:val="28"/>
        </w:rPr>
      </w:pPr>
      <w:r>
        <w:rPr>
          <w:rFonts w:ascii="Baskerville Old Face" w:hAnsi="Baskerville Old Face"/>
          <w:iCs/>
          <w:sz w:val="28"/>
        </w:rPr>
        <w:t>Umar Dacca</w:t>
      </w:r>
    </w:p>
    <w:p w14:paraId="778AAE11" w14:textId="77777777" w:rsidR="00354108" w:rsidRPr="0023604B" w:rsidRDefault="00354108" w:rsidP="00F4266F">
      <w:pPr>
        <w:spacing w:after="34" w:line="259" w:lineRule="auto"/>
        <w:rPr>
          <w:rFonts w:ascii="Baskerville Old Face" w:hAnsi="Baskerville Old Face"/>
          <w:iCs/>
          <w:szCs w:val="22"/>
          <w:vertAlign w:val="superscript"/>
        </w:rPr>
      </w:pPr>
    </w:p>
    <w:p w14:paraId="4AEB22B6" w14:textId="3D908EF0" w:rsidR="00354108" w:rsidRDefault="00354108" w:rsidP="00354108">
      <w:pPr>
        <w:spacing w:after="34" w:line="259" w:lineRule="auto"/>
        <w:ind w:left="304" w:firstLine="0"/>
        <w:jc w:val="center"/>
      </w:pPr>
      <w:r>
        <w:rPr>
          <w:rFonts w:ascii="Baskerville Old Face" w:eastAsia="Times New Roman" w:hAnsi="Baskerville Old Face" w:cs="Times New Roman"/>
          <w:kern w:val="0"/>
          <w14:ligatures w14:val="none"/>
        </w:rPr>
        <w:t>Gaia</w:t>
      </w:r>
      <w:r w:rsidRPr="0023604B">
        <w:rPr>
          <w:rFonts w:ascii="Baskerville Old Face" w:eastAsia="Times New Roman" w:hAnsi="Baskerville Old Face" w:cs="Times New Roman"/>
          <w:kern w:val="0"/>
          <w14:ligatures w14:val="none"/>
        </w:rPr>
        <w:t xml:space="preserve"> College, Israel</w:t>
      </w:r>
      <w:r w:rsidRPr="0023604B">
        <w:rPr>
          <w:rFonts w:ascii="Baskerville Old Face" w:eastAsia="Times New Roman" w:hAnsi="Baskerville Old Face" w:cs="Times New Roman"/>
          <w:kern w:val="0"/>
          <w14:ligatures w14:val="none"/>
        </w:rPr>
        <w:br/>
      </w:r>
    </w:p>
    <w:p w14:paraId="399F845F" w14:textId="77777777" w:rsidR="00354108" w:rsidRDefault="00354108" w:rsidP="00354108">
      <w:pPr>
        <w:spacing w:after="0" w:line="259" w:lineRule="auto"/>
        <w:ind w:left="160" w:firstLine="0"/>
        <w:jc w:val="left"/>
      </w:pPr>
      <w:r>
        <w:rPr>
          <w:b/>
          <w:sz w:val="28"/>
        </w:rPr>
        <w:t xml:space="preserve"> </w:t>
      </w:r>
    </w:p>
    <w:p w14:paraId="37A60BB3" w14:textId="77777777" w:rsidR="00354108" w:rsidRPr="0023604B" w:rsidRDefault="00354108" w:rsidP="00354108">
      <w:pPr>
        <w:spacing w:after="175" w:line="237" w:lineRule="auto"/>
        <w:ind w:left="160" w:right="136" w:firstLine="0"/>
        <w:rPr>
          <w:rFonts w:ascii="Baskerville Old Face" w:hAnsi="Baskerville Old Face"/>
          <w:sz w:val="22"/>
        </w:rPr>
      </w:pPr>
      <w:r w:rsidRPr="00FE0DAD">
        <w:rPr>
          <w:rFonts w:ascii="AMERICAN TYPEWRITER SEMIBOLD" w:hAnsi="AMERICAN TYPEWRITER SEMIBOLD" w:cs="ADLaM Display"/>
          <w:b/>
          <w:bCs/>
          <w:szCs w:val="28"/>
        </w:rPr>
        <w:t>Abstract</w:t>
      </w:r>
      <w:r w:rsidRPr="0023604B">
        <w:rPr>
          <w:rFonts w:ascii="Baskerville Old Face" w:hAnsi="Baskerville Old Face"/>
          <w:b/>
          <w:sz w:val="22"/>
        </w:rPr>
        <w:t xml:space="preserve">: </w:t>
      </w:r>
    </w:p>
    <w:p w14:paraId="4496277B" w14:textId="77777777" w:rsidR="00F4266F" w:rsidRDefault="00F4266F" w:rsidP="00C36620">
      <w:pPr>
        <w:spacing w:after="175" w:line="237" w:lineRule="auto"/>
        <w:ind w:left="160" w:right="136" w:firstLine="0"/>
        <w:rPr>
          <w:rFonts w:ascii="AMERICAN TYPEWRITER SEMIBOLD" w:hAnsi="AMERICAN TYPEWRITER SEMIBOLD"/>
          <w:b/>
          <w:bCs/>
          <w:szCs w:val="28"/>
        </w:rPr>
      </w:pPr>
      <w:r w:rsidRPr="00F4266F">
        <w:rPr>
          <w:rFonts w:ascii="Baskerville Old Face" w:hAnsi="Baskerville Old Face"/>
          <w:sz w:val="22"/>
        </w:rPr>
        <w:t xml:space="preserve">This paper examines market structure, competitive dynamics, and strategic behavior in the medical device industry, using dental implants as a revealing case study of broader industry patterns. Through comprehensive analysis of industry concentration, competitive strategies, innovation trajectories, and power relationships, the study demonstrates that medical device markets exhibit distinctive characteristics fundamentally shaping technology development, pricing, and access. The analysis reveals that: (1) substantial market concentration characterizes the industry, with major manufacturers (Nobel </w:t>
      </w:r>
      <w:proofErr w:type="spellStart"/>
      <w:r w:rsidRPr="00F4266F">
        <w:rPr>
          <w:rFonts w:ascii="Baskerville Old Face" w:hAnsi="Baskerville Old Face"/>
          <w:sz w:val="22"/>
        </w:rPr>
        <w:t>Biocare</w:t>
      </w:r>
      <w:proofErr w:type="spellEnd"/>
      <w:r w:rsidRPr="00F4266F">
        <w:rPr>
          <w:rFonts w:ascii="Baskerville Old Face" w:hAnsi="Baskerville Old Face"/>
          <w:sz w:val="22"/>
        </w:rPr>
        <w:t>, Straumann, Dentsply Sirona) dominating through acquisition strategies rather than purely internal innovation (</w:t>
      </w:r>
      <w:proofErr w:type="spellStart"/>
      <w:r w:rsidRPr="00F4266F">
        <w:rPr>
          <w:rFonts w:ascii="Baskerville Old Face" w:hAnsi="Baskerville Old Face"/>
          <w:sz w:val="22"/>
        </w:rPr>
        <w:t>Gelijns</w:t>
      </w:r>
      <w:proofErr w:type="spellEnd"/>
      <w:r w:rsidRPr="00F4266F">
        <w:rPr>
          <w:rFonts w:ascii="Baskerville Old Face" w:hAnsi="Baskerville Old Face"/>
          <w:sz w:val="22"/>
        </w:rPr>
        <w:t xml:space="preserve"> &amp; Halm, 1991); (2) competitive dynamics involve multidimensional rivalry across technology innovation, marketing, practitioner relationships, and intellectual property protection rather than primarily price competition; (3) asymmetric power relationships between concentrated manufacturers and fragmented providers enable manufacturers to dictate terms affecting pricing, product selection, and clinical practice patterns; and (4) regulatory frameworks emphasizing substantial equivalence over clinical outcome evidence create innovation dynamics favoring incremental improvements over transformative breakthroughs. Drawing on industrial organization economics, innovation studies, and strategic management perspectives, the paper argues that medical device industry structure produces systematic effects on innovation directions, with concentration in profitable market segments (restorative, aesthetic) while underserving less profitable needs (prevention, public health, underserved populations). Key findings include documentation of the entrepreneurial innovation-corporate acquisition model generating industry consolidation, analysis of how intellectual property strategies create competitive advantages through patent thickets, examination of manufacturer influence over professional education and clinical guidelines, and identification of global market expansion strategies targeting emerging economies. The study concludes that understanding industry dynamics proves essential for evaluating which technologies get developed, how they're priced, and who can access them—questions with profound implications for population health, healthcare costs, and innovation policy.</w:t>
      </w:r>
    </w:p>
    <w:p w14:paraId="58F09192" w14:textId="470762F1" w:rsidR="00354108" w:rsidRDefault="00354108" w:rsidP="00C36620">
      <w:pPr>
        <w:spacing w:after="175" w:line="237" w:lineRule="auto"/>
        <w:ind w:left="160" w:right="136" w:firstLine="0"/>
        <w:rPr>
          <w:rFonts w:ascii="Baskerville Old Face" w:hAnsi="Baskerville Old Face"/>
          <w:sz w:val="22"/>
        </w:rPr>
      </w:pPr>
      <w:r w:rsidRPr="00FE0DAD">
        <w:rPr>
          <w:rFonts w:ascii="AMERICAN TYPEWRITER SEMIBOLD" w:hAnsi="AMERICAN TYPEWRITER SEMIBOLD"/>
          <w:b/>
          <w:bCs/>
          <w:szCs w:val="28"/>
        </w:rPr>
        <w:t>Keywords</w:t>
      </w:r>
      <w:r>
        <w:rPr>
          <w:rFonts w:ascii="Baskerville Old Face" w:hAnsi="Baskerville Old Face"/>
          <w:sz w:val="22"/>
        </w:rPr>
        <w:t>:</w:t>
      </w:r>
      <w:r w:rsidR="00C36620">
        <w:rPr>
          <w:rFonts w:ascii="Baskerville Old Face" w:hAnsi="Baskerville Old Face"/>
          <w:sz w:val="22"/>
        </w:rPr>
        <w:t xml:space="preserve"> </w:t>
      </w:r>
      <w:r w:rsidR="00F4266F" w:rsidRPr="00F4266F">
        <w:rPr>
          <w:rFonts w:ascii="Baskerville Old Face" w:hAnsi="Baskerville Old Face"/>
          <w:sz w:val="22"/>
        </w:rPr>
        <w:t>medical device industry, market structure, competitive strategy, industry concentration, innovation dynamics, manufacturer power</w:t>
      </w:r>
      <w:r w:rsidR="00F4266F">
        <w:rPr>
          <w:rFonts w:ascii="Baskerville Old Face" w:hAnsi="Baskerville Old Face"/>
          <w:sz w:val="22"/>
        </w:rPr>
        <w:t>.</w:t>
      </w:r>
    </w:p>
    <w:p w14:paraId="200D6316" w14:textId="77777777" w:rsidR="00354108" w:rsidRPr="0023604B" w:rsidRDefault="00354108" w:rsidP="00354108">
      <w:pPr>
        <w:spacing w:after="175" w:line="237" w:lineRule="auto"/>
        <w:ind w:left="160" w:right="136" w:firstLine="0"/>
        <w:rPr>
          <w:rFonts w:ascii="Baskerville Old Face" w:hAnsi="Baskerville Old Face"/>
        </w:rPr>
      </w:pPr>
    </w:p>
    <w:p w14:paraId="3C9EFCB0" w14:textId="220C80A6" w:rsidR="00354108" w:rsidRPr="0023604B" w:rsidRDefault="00354108" w:rsidP="00354108">
      <w:pPr>
        <w:pStyle w:val="ad"/>
        <w:spacing w:before="0" w:after="0" w:line="240" w:lineRule="auto"/>
        <w:rPr>
          <w:rFonts w:ascii="Baskerville Old Face" w:hAnsi="Baskerville Old Face"/>
          <w:i w:val="0"/>
          <w:iCs w:val="0"/>
        </w:rPr>
      </w:pPr>
      <w:r w:rsidRPr="0023604B">
        <w:rPr>
          <w:rFonts w:ascii="Baskerville Old Face" w:hAnsi="Baskerville Old Face"/>
          <w:i w:val="0"/>
          <w:iCs w:val="0"/>
        </w:rPr>
        <w:t xml:space="preserve">Received: </w:t>
      </w:r>
      <w:r w:rsidR="00897284">
        <w:rPr>
          <w:rFonts w:ascii="Baskerville Old Face" w:hAnsi="Baskerville Old Face"/>
          <w:i w:val="0"/>
          <w:iCs w:val="0"/>
        </w:rPr>
        <w:t>0</w:t>
      </w:r>
      <w:r w:rsidRPr="0023604B">
        <w:rPr>
          <w:rFonts w:ascii="Baskerville Old Face" w:hAnsi="Baskerville Old Face"/>
          <w:i w:val="0"/>
          <w:iCs w:val="0"/>
        </w:rPr>
        <w:t xml:space="preserve">7 </w:t>
      </w:r>
      <w:r w:rsidR="00F4266F">
        <w:rPr>
          <w:rFonts w:ascii="Baskerville Old Face" w:hAnsi="Baskerville Old Face"/>
          <w:i w:val="0"/>
          <w:iCs w:val="0"/>
        </w:rPr>
        <w:t>November</w:t>
      </w:r>
      <w:r w:rsidRPr="0023604B">
        <w:rPr>
          <w:rFonts w:ascii="Baskerville Old Face" w:hAnsi="Baskerville Old Face"/>
          <w:i w:val="0"/>
          <w:iCs w:val="0"/>
        </w:rPr>
        <w:t xml:space="preserve"> 202</w:t>
      </w:r>
      <w:r w:rsidR="00897284">
        <w:rPr>
          <w:rFonts w:ascii="Baskerville Old Face" w:hAnsi="Baskerville Old Face"/>
          <w:i w:val="0"/>
          <w:iCs w:val="0"/>
        </w:rPr>
        <w:t>5</w:t>
      </w:r>
      <w:r w:rsidRPr="0023604B">
        <w:rPr>
          <w:rFonts w:ascii="Baskerville Old Face" w:hAnsi="Baskerville Old Face"/>
          <w:i w:val="0"/>
          <w:iCs w:val="0"/>
        </w:rPr>
        <w:t xml:space="preserve"> </w:t>
      </w:r>
    </w:p>
    <w:p w14:paraId="3A50C088" w14:textId="6FF5CA9E" w:rsidR="00354108" w:rsidRPr="0023604B" w:rsidRDefault="00354108" w:rsidP="00354108">
      <w:pPr>
        <w:pStyle w:val="ad"/>
        <w:spacing w:before="0" w:after="0" w:line="240" w:lineRule="auto"/>
        <w:rPr>
          <w:rFonts w:ascii="Baskerville Old Face" w:hAnsi="Baskerville Old Face"/>
          <w:i w:val="0"/>
          <w:iCs w:val="0"/>
        </w:rPr>
      </w:pPr>
      <w:r w:rsidRPr="0023604B">
        <w:rPr>
          <w:rFonts w:ascii="Baskerville Old Face" w:hAnsi="Baskerville Old Face"/>
          <w:i w:val="0"/>
          <w:iCs w:val="0"/>
        </w:rPr>
        <w:t xml:space="preserve">First revision: </w:t>
      </w:r>
      <w:r w:rsidR="00897284">
        <w:rPr>
          <w:rFonts w:ascii="Baskerville Old Face" w:hAnsi="Baskerville Old Face"/>
          <w:i w:val="0"/>
          <w:iCs w:val="0"/>
        </w:rPr>
        <w:t>1</w:t>
      </w:r>
      <w:r w:rsidRPr="0023604B">
        <w:rPr>
          <w:rFonts w:ascii="Baskerville Old Face" w:hAnsi="Baskerville Old Face"/>
          <w:i w:val="0"/>
          <w:iCs w:val="0"/>
        </w:rPr>
        <w:t xml:space="preserve">9 </w:t>
      </w:r>
      <w:r w:rsidR="00F4266F">
        <w:rPr>
          <w:rFonts w:ascii="Baskerville Old Face" w:hAnsi="Baskerville Old Face"/>
          <w:i w:val="0"/>
          <w:iCs w:val="0"/>
        </w:rPr>
        <w:t>November</w:t>
      </w:r>
      <w:r w:rsidRPr="0023604B">
        <w:rPr>
          <w:rFonts w:ascii="Baskerville Old Face" w:hAnsi="Baskerville Old Face"/>
          <w:i w:val="0"/>
          <w:iCs w:val="0"/>
        </w:rPr>
        <w:t xml:space="preserve"> 202</w:t>
      </w:r>
      <w:r w:rsidR="00897284">
        <w:rPr>
          <w:rFonts w:ascii="Baskerville Old Face" w:hAnsi="Baskerville Old Face"/>
          <w:i w:val="0"/>
          <w:iCs w:val="0"/>
        </w:rPr>
        <w:t>5</w:t>
      </w:r>
      <w:r w:rsidRPr="0023604B">
        <w:rPr>
          <w:rFonts w:ascii="Baskerville Old Face" w:hAnsi="Baskerville Old Face"/>
          <w:i w:val="0"/>
          <w:iCs w:val="0"/>
        </w:rPr>
        <w:t xml:space="preserve"> </w:t>
      </w:r>
    </w:p>
    <w:p w14:paraId="46F6FE04" w14:textId="00D273FA" w:rsidR="00354108" w:rsidRPr="0023604B" w:rsidRDefault="00354108" w:rsidP="00354108">
      <w:pPr>
        <w:pStyle w:val="ad"/>
        <w:spacing w:before="0" w:after="0" w:line="240" w:lineRule="auto"/>
        <w:rPr>
          <w:rFonts w:ascii="Baskerville Old Face" w:hAnsi="Baskerville Old Face"/>
          <w:i w:val="0"/>
          <w:iCs w:val="0"/>
        </w:rPr>
      </w:pPr>
      <w:r w:rsidRPr="0023604B">
        <w:rPr>
          <w:rFonts w:ascii="Baskerville Old Face" w:hAnsi="Baskerville Old Face"/>
          <w:i w:val="0"/>
          <w:iCs w:val="0"/>
        </w:rPr>
        <w:t xml:space="preserve">Accepted: </w:t>
      </w:r>
      <w:r w:rsidR="00F4266F">
        <w:rPr>
          <w:rFonts w:ascii="Baskerville Old Face" w:hAnsi="Baskerville Old Face"/>
          <w:i w:val="0"/>
          <w:iCs w:val="0"/>
        </w:rPr>
        <w:t>29</w:t>
      </w:r>
      <w:r w:rsidRPr="0023604B">
        <w:rPr>
          <w:rFonts w:ascii="Baskerville Old Face" w:hAnsi="Baskerville Old Face"/>
          <w:i w:val="0"/>
          <w:iCs w:val="0"/>
        </w:rPr>
        <w:t xml:space="preserve"> </w:t>
      </w:r>
      <w:r w:rsidR="00F4266F">
        <w:rPr>
          <w:rFonts w:ascii="Baskerville Old Face" w:hAnsi="Baskerville Old Face"/>
          <w:i w:val="0"/>
          <w:iCs w:val="0"/>
        </w:rPr>
        <w:t>November</w:t>
      </w:r>
      <w:r w:rsidR="00F4266F" w:rsidRPr="0023604B">
        <w:rPr>
          <w:rFonts w:ascii="Baskerville Old Face" w:hAnsi="Baskerville Old Face"/>
          <w:i w:val="0"/>
          <w:iCs w:val="0"/>
        </w:rPr>
        <w:t xml:space="preserve"> </w:t>
      </w:r>
      <w:r w:rsidRPr="0023604B">
        <w:rPr>
          <w:rFonts w:ascii="Baskerville Old Face" w:hAnsi="Baskerville Old Face"/>
          <w:i w:val="0"/>
          <w:iCs w:val="0"/>
        </w:rPr>
        <w:t>202</w:t>
      </w:r>
      <w:r w:rsidR="00897284">
        <w:rPr>
          <w:rFonts w:ascii="Baskerville Old Face" w:hAnsi="Baskerville Old Face"/>
          <w:i w:val="0"/>
          <w:iCs w:val="0"/>
        </w:rPr>
        <w:t>5</w:t>
      </w:r>
    </w:p>
    <w:p w14:paraId="0C7BCCC7" w14:textId="77777777" w:rsidR="00354108" w:rsidRDefault="00354108" w:rsidP="005616C8">
      <w:pPr>
        <w:ind w:left="0" w:firstLine="0"/>
      </w:pPr>
    </w:p>
    <w:p w14:paraId="046BA24C" w14:textId="77777777" w:rsidR="00354108" w:rsidRDefault="00354108" w:rsidP="00354108">
      <w:pPr>
        <w:pStyle w:val="1"/>
        <w:numPr>
          <w:ilvl w:val="0"/>
          <w:numId w:val="0"/>
        </w:numPr>
        <w:ind w:left="21" w:hanging="10"/>
        <w:jc w:val="center"/>
        <w:rPr>
          <w:rFonts w:ascii="AMERICAN TYPEWRITER SEMIBOLD" w:hAnsi="AMERICAN TYPEWRITER SEMIBOLD"/>
          <w:bCs/>
          <w:sz w:val="32"/>
          <w:szCs w:val="28"/>
        </w:rPr>
      </w:pPr>
      <w:r w:rsidRPr="00FE0DAD">
        <w:rPr>
          <w:rFonts w:ascii="AMERICAN TYPEWRITER SEMIBOLD" w:hAnsi="AMERICAN TYPEWRITER SEMIBOLD"/>
          <w:bCs/>
          <w:sz w:val="32"/>
          <w:szCs w:val="28"/>
        </w:rPr>
        <w:t>Introduction</w:t>
      </w:r>
    </w:p>
    <w:p w14:paraId="303DF356" w14:textId="77777777" w:rsidR="00354108" w:rsidRPr="00B23B59" w:rsidRDefault="00354108" w:rsidP="00354108"/>
    <w:p w14:paraId="4732DC86"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Medical device industry structure profoundly affects which technologies get developed, how they're priced and distributed, and ultimately which populations benefit from innovation. Unlike pharmaceutical markets receiving extensive analysis from industrial organization economists, medical device markets remain relatively understudied despite generating hundreds of billions in annual revenue globally and fundamentally shaping modern healthcare delivery. This analytical gap proves particularly concerning given mounting evidence that industry structure influences not merely commercial outcomes but also clinical practice patterns, research priorities, and health equity.</w:t>
      </w:r>
    </w:p>
    <w:p w14:paraId="0542E10B"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The dental implant industry provides an illuminating case study for examining medical device market dynamics. The industry has evolved over four decades from pioneering innovations by individual researchers and small entrepreneurial companies to concentrated markets dominated by major multinational corporations. This evolution exemplifies broader patterns in medical device industries, making implants a revealing window into structural dynamics, competitive strategies, and power relationships characterizing the sector.</w:t>
      </w:r>
    </w:p>
    <w:p w14:paraId="71C006BC" w14:textId="77777777" w:rsidR="00F4266F" w:rsidRPr="00F46E8A" w:rsidRDefault="00F4266F" w:rsidP="00F4266F">
      <w:pPr>
        <w:pStyle w:val="GAIA2ndlevel"/>
        <w:rPr>
          <w:rFonts w:eastAsia="Times New Roman"/>
        </w:rPr>
      </w:pPr>
      <w:r w:rsidRPr="00F46E8A">
        <w:rPr>
          <w:rFonts w:eastAsia="Times New Roman"/>
        </w:rPr>
        <w:t>1.1 Research Questions and Analytical Framework</w:t>
      </w:r>
    </w:p>
    <w:p w14:paraId="6ECF4CC9" w14:textId="77777777" w:rsidR="00F4266F" w:rsidRPr="00F46E8A" w:rsidRDefault="00F4266F" w:rsidP="00F4266F">
      <w:pPr>
        <w:spacing w:before="100" w:beforeAutospacing="1" w:after="100" w:afterAutospacing="1"/>
        <w:ind w:left="0" w:firstLine="0"/>
        <w:jc w:val="left"/>
        <w:rPr>
          <w:rFonts w:eastAsia="Times New Roman" w:cs="Times New Roman"/>
          <w:color w:val="auto"/>
          <w:kern w:val="0"/>
          <w14:ligatures w14:val="none"/>
        </w:rPr>
      </w:pPr>
      <w:r w:rsidRPr="00F46E8A">
        <w:rPr>
          <w:rFonts w:eastAsia="Times New Roman" w:cs="Times New Roman"/>
          <w:color w:val="auto"/>
          <w:kern w:val="0"/>
          <w14:ligatures w14:val="none"/>
        </w:rPr>
        <w:t>This paper addresses four interconnected questions about medical device industry dynamics:</w:t>
      </w:r>
    </w:p>
    <w:p w14:paraId="21C1A9D7"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Market Structure and Concentration</w:t>
      </w:r>
      <w:r w:rsidRPr="00F46E8A">
        <w:rPr>
          <w:rFonts w:eastAsia="Times New Roman" w:cs="Times New Roman"/>
          <w:color w:val="auto"/>
          <w:kern w:val="0"/>
          <w14:ligatures w14:val="none"/>
        </w:rPr>
        <w:t>: How concentrated is the medical device industry, and has concentration increased over time? What mechanisms drive consolidation—organic growth, horizontal mergers, vertical integration, acquisition of innovators? How does concentration affect pricing power, innovation incentives, and competitive dynamics?</w:t>
      </w:r>
    </w:p>
    <w:p w14:paraId="1D9D6976"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Competitive Strategies and Differentiation</w:t>
      </w:r>
      <w:r w:rsidRPr="00F46E8A">
        <w:rPr>
          <w:rFonts w:eastAsia="Times New Roman" w:cs="Times New Roman"/>
          <w:color w:val="auto"/>
          <w:kern w:val="0"/>
          <w14:ligatures w14:val="none"/>
        </w:rPr>
        <w:t>: How do medical device manufacturers compete? What roles do technological innovation, marketing, practitioner relationships, and intellectual property protection play in competitive strategy? How do manufacturers create and maintain competitive advantages in concentrated markets?</w:t>
      </w:r>
    </w:p>
    <w:p w14:paraId="3AE38ADD"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Power Relationships and Influence</w:t>
      </w:r>
      <w:r w:rsidRPr="00F46E8A">
        <w:rPr>
          <w:rFonts w:eastAsia="Times New Roman" w:cs="Times New Roman"/>
          <w:color w:val="auto"/>
          <w:kern w:val="0"/>
          <w14:ligatures w14:val="none"/>
        </w:rPr>
        <w:t>: How do power relationships between manufacturers, providers, payers, and patients shape market outcomes? Through what mechanisms do manufacturers influence professional education, clinical guidelines, and regulatory standards? How does manufacturer power affect clinical autonomy and treatment decisions?</w:t>
      </w:r>
    </w:p>
    <w:p w14:paraId="46532690"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Innovation Dynamics and Research Priorities</w:t>
      </w:r>
      <w:r w:rsidRPr="00F46E8A">
        <w:rPr>
          <w:rFonts w:eastAsia="Times New Roman" w:cs="Times New Roman"/>
          <w:color w:val="auto"/>
          <w:kern w:val="0"/>
          <w14:ligatures w14:val="none"/>
        </w:rPr>
        <w:t>: How does industry structure affect innovation trajectories and research priorities? Do concentrated markets favor incremental improvements over transformative innovations? How do profitability considerations shape which technologies get developed and which patient needs remain unaddressed?</w:t>
      </w:r>
    </w:p>
    <w:p w14:paraId="7EFB39D3"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 xml:space="preserve">The analytical framework integrates three theoretical perspectives. From </w:t>
      </w:r>
      <w:r w:rsidRPr="00F46E8A">
        <w:rPr>
          <w:rFonts w:eastAsia="Times New Roman" w:cs="Times New Roman"/>
          <w:b/>
          <w:bCs/>
          <w:color w:val="auto"/>
          <w:kern w:val="0"/>
          <w14:ligatures w14:val="none"/>
        </w:rPr>
        <w:t>industrial organization economics</w:t>
      </w:r>
      <w:r w:rsidRPr="00F46E8A">
        <w:rPr>
          <w:rFonts w:eastAsia="Times New Roman" w:cs="Times New Roman"/>
          <w:color w:val="auto"/>
          <w:kern w:val="0"/>
          <w14:ligatures w14:val="none"/>
        </w:rPr>
        <w:t xml:space="preserve"> (</w:t>
      </w:r>
      <w:proofErr w:type="spellStart"/>
      <w:r w:rsidRPr="00F46E8A">
        <w:rPr>
          <w:rFonts w:eastAsia="Times New Roman" w:cs="Times New Roman"/>
          <w:color w:val="auto"/>
          <w:kern w:val="0"/>
          <w14:ligatures w14:val="none"/>
        </w:rPr>
        <w:t>Gelijns</w:t>
      </w:r>
      <w:proofErr w:type="spellEnd"/>
      <w:r w:rsidRPr="00F46E8A">
        <w:rPr>
          <w:rFonts w:eastAsia="Times New Roman" w:cs="Times New Roman"/>
          <w:color w:val="auto"/>
          <w:kern w:val="0"/>
          <w14:ligatures w14:val="none"/>
        </w:rPr>
        <w:t xml:space="preserve"> &amp; Halm, 1991; </w:t>
      </w:r>
      <w:proofErr w:type="spellStart"/>
      <w:r w:rsidRPr="00F46E8A">
        <w:rPr>
          <w:rFonts w:eastAsia="Times New Roman" w:cs="Times New Roman"/>
          <w:color w:val="auto"/>
          <w:kern w:val="0"/>
          <w14:ligatures w14:val="none"/>
        </w:rPr>
        <w:t>Chernew</w:t>
      </w:r>
      <w:proofErr w:type="spellEnd"/>
      <w:r w:rsidRPr="00F46E8A">
        <w:rPr>
          <w:rFonts w:eastAsia="Times New Roman" w:cs="Times New Roman"/>
          <w:color w:val="auto"/>
          <w:kern w:val="0"/>
          <w14:ligatures w14:val="none"/>
        </w:rPr>
        <w:t xml:space="preserve"> et al., 2021), we adopt analysis of how market </w:t>
      </w:r>
      <w:r w:rsidRPr="00F46E8A">
        <w:rPr>
          <w:rFonts w:eastAsia="Times New Roman" w:cs="Times New Roman"/>
          <w:color w:val="auto"/>
          <w:kern w:val="0"/>
          <w14:ligatures w14:val="none"/>
        </w:rPr>
        <w:lastRenderedPageBreak/>
        <w:t xml:space="preserve">structure—concentration, entry barriers, product differentiation—affects pricing, innovation, and welfare outcomes. From </w:t>
      </w:r>
      <w:r w:rsidRPr="00F46E8A">
        <w:rPr>
          <w:rFonts w:eastAsia="Times New Roman" w:cs="Times New Roman"/>
          <w:b/>
          <w:bCs/>
          <w:color w:val="auto"/>
          <w:kern w:val="0"/>
          <w14:ligatures w14:val="none"/>
        </w:rPr>
        <w:t>strategic management</w:t>
      </w:r>
      <w:r w:rsidRPr="00F46E8A">
        <w:rPr>
          <w:rFonts w:eastAsia="Times New Roman" w:cs="Times New Roman"/>
          <w:color w:val="auto"/>
          <w:kern w:val="0"/>
          <w14:ligatures w14:val="none"/>
        </w:rPr>
        <w:t xml:space="preserve"> (Christensen et al., 2015), we draw understanding of competitive strategy, differentiation mechanisms, and dynamic capabilities enabling sustained advantage. From </w:t>
      </w:r>
      <w:r w:rsidRPr="00F46E8A">
        <w:rPr>
          <w:rFonts w:eastAsia="Times New Roman" w:cs="Times New Roman"/>
          <w:b/>
          <w:bCs/>
          <w:color w:val="auto"/>
          <w:kern w:val="0"/>
          <w14:ligatures w14:val="none"/>
        </w:rPr>
        <w:t>innovation studies</w:t>
      </w:r>
      <w:r w:rsidRPr="00F46E8A">
        <w:rPr>
          <w:rFonts w:eastAsia="Times New Roman" w:cs="Times New Roman"/>
          <w:color w:val="auto"/>
          <w:kern w:val="0"/>
          <w14:ligatures w14:val="none"/>
        </w:rPr>
        <w:t xml:space="preserve"> (Blume, 1992), we apply insights about how institutional arrangements, funding mechanisms, and regulatory frameworks shape innovation directions and trajectories.</w:t>
      </w:r>
    </w:p>
    <w:p w14:paraId="06E659DA" w14:textId="77777777" w:rsidR="00F4266F" w:rsidRPr="00F46E8A" w:rsidRDefault="00F4266F" w:rsidP="00F4266F">
      <w:pPr>
        <w:pStyle w:val="GAIA2ndlevel"/>
        <w:rPr>
          <w:rFonts w:eastAsia="Times New Roman"/>
        </w:rPr>
      </w:pPr>
      <w:r w:rsidRPr="00F46E8A">
        <w:rPr>
          <w:rFonts w:eastAsia="Times New Roman"/>
        </w:rPr>
        <w:t>1.2 Case Selection and Evidence Base</w:t>
      </w:r>
    </w:p>
    <w:p w14:paraId="4E11BFF5"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Dental implants offer several advantages as a case study. First, sufficient time has elapsed since market formation (35+ years) to observe long-term structural evolution and competitive dynamics. Second, the industry exhibits clear concentration patterns with identifiable major players, enabling analysis of market structure effects. Third, manufacturers pursue diverse competitive strategies—technological innovation, marketing differentiation, practitioner relationship cultivation—providing rich material for strategic analysis.</w:t>
      </w:r>
    </w:p>
    <w:p w14:paraId="19FE09F3"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Fourth, extensive documentation exists on industry participants, M&amp;A activity, product portfolios, and marketing strategies, enabling detailed industry examination (Heft et al., 2020; Buser et al., 2017). Fifth, the industry operates globally with varying regulatory and competitive environments across countries, enabling comparative analysis. Finally, dental implants represent substantial markets (billions annually) with significant healthcare implications, making industry dynamics consequential for population health and healthcare costs.</w:t>
      </w:r>
    </w:p>
    <w:p w14:paraId="41D070FD"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The analysis synthesizes multiple evidence sources including: academic research on medical device innovation and industry structure (</w:t>
      </w:r>
      <w:proofErr w:type="spellStart"/>
      <w:r w:rsidRPr="00F46E8A">
        <w:rPr>
          <w:rFonts w:eastAsia="Times New Roman" w:cs="Times New Roman"/>
          <w:color w:val="auto"/>
          <w:kern w:val="0"/>
          <w14:ligatures w14:val="none"/>
        </w:rPr>
        <w:t>Gelijns</w:t>
      </w:r>
      <w:proofErr w:type="spellEnd"/>
      <w:r w:rsidRPr="00F46E8A">
        <w:rPr>
          <w:rFonts w:eastAsia="Times New Roman" w:cs="Times New Roman"/>
          <w:color w:val="auto"/>
          <w:kern w:val="0"/>
          <w14:ligatures w14:val="none"/>
        </w:rPr>
        <w:t xml:space="preserve"> &amp; Halm, 1991; Blume, 1992); market analyses documenting concentration and competitive dynamics (</w:t>
      </w:r>
      <w:proofErr w:type="spellStart"/>
      <w:r w:rsidRPr="00F46E8A">
        <w:rPr>
          <w:rFonts w:eastAsia="Times New Roman" w:cs="Times New Roman"/>
          <w:color w:val="auto"/>
          <w:kern w:val="0"/>
          <w14:ligatures w14:val="none"/>
        </w:rPr>
        <w:t>Chernew</w:t>
      </w:r>
      <w:proofErr w:type="spellEnd"/>
      <w:r w:rsidRPr="00F46E8A">
        <w:rPr>
          <w:rFonts w:eastAsia="Times New Roman" w:cs="Times New Roman"/>
          <w:color w:val="auto"/>
          <w:kern w:val="0"/>
          <w14:ligatures w14:val="none"/>
        </w:rPr>
        <w:t xml:space="preserve"> et al., 2021); practitioner surveys revealing technology adoption patterns (Heft et al., 2020); clinical literature documenting manufacturer influence on research and education; and policy analyses examining regulatory effects on industry structure and innovation (NCBI, 1980; Slavkin, 2012).</w:t>
      </w:r>
    </w:p>
    <w:p w14:paraId="748B7F36" w14:textId="77777777" w:rsidR="00F4266F" w:rsidRPr="00F46E8A" w:rsidRDefault="00F4266F" w:rsidP="00F4266F">
      <w:pPr>
        <w:spacing w:after="0"/>
        <w:ind w:left="0" w:firstLine="0"/>
        <w:jc w:val="left"/>
        <w:rPr>
          <w:rFonts w:eastAsia="Times New Roman" w:cs="Times New Roman"/>
          <w:color w:val="auto"/>
          <w:kern w:val="0"/>
          <w14:ligatures w14:val="none"/>
        </w:rPr>
      </w:pPr>
    </w:p>
    <w:p w14:paraId="269C2AA3" w14:textId="77777777" w:rsidR="00F4266F" w:rsidRPr="00F46E8A" w:rsidRDefault="00F4266F" w:rsidP="00F4266F">
      <w:pPr>
        <w:pStyle w:val="GAIA1stlevel"/>
        <w:rPr>
          <w:rFonts w:eastAsia="Times New Roman"/>
        </w:rPr>
      </w:pPr>
      <w:r w:rsidRPr="00F46E8A">
        <w:rPr>
          <w:rFonts w:eastAsia="Times New Roman"/>
        </w:rPr>
        <w:t>2. Industry Structure: The Evolution of Market Concentration</w:t>
      </w:r>
    </w:p>
    <w:p w14:paraId="501C77F8" w14:textId="77777777" w:rsidR="00F4266F" w:rsidRPr="00F46E8A" w:rsidRDefault="00F4266F" w:rsidP="00F4266F">
      <w:pPr>
        <w:pStyle w:val="GAIA2ndlevel"/>
        <w:rPr>
          <w:rFonts w:eastAsia="Times New Roman"/>
        </w:rPr>
      </w:pPr>
      <w:r w:rsidRPr="00F46E8A">
        <w:rPr>
          <w:rFonts w:eastAsia="Times New Roman"/>
        </w:rPr>
        <w:t>2.1 The Entrepreneurial Innovation-Corporate Acquisition Model</w:t>
      </w:r>
    </w:p>
    <w:p w14:paraId="6F334D3E"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Research on medical device innovation demonstrates that "the development of new medical devices generally takes place in small, entrepreneurial companies," with larger corporations typically acquiring successful innovations rather than developing them internally (</w:t>
      </w:r>
      <w:proofErr w:type="spellStart"/>
      <w:r w:rsidRPr="00F46E8A">
        <w:rPr>
          <w:rFonts w:eastAsia="Times New Roman" w:cs="Times New Roman"/>
          <w:color w:val="auto"/>
          <w:kern w:val="0"/>
          <w14:ligatures w14:val="none"/>
        </w:rPr>
        <w:t>Gelijns</w:t>
      </w:r>
      <w:proofErr w:type="spellEnd"/>
      <w:r w:rsidRPr="00F46E8A">
        <w:rPr>
          <w:rFonts w:eastAsia="Times New Roman" w:cs="Times New Roman"/>
          <w:color w:val="auto"/>
          <w:kern w:val="0"/>
          <w14:ligatures w14:val="none"/>
        </w:rPr>
        <w:t xml:space="preserve"> &amp; Halm, 1991). This pattern characterizes dental implant industry evolution, with major manufacturers including Nobel </w:t>
      </w:r>
      <w:proofErr w:type="spellStart"/>
      <w:r w:rsidRPr="00F46E8A">
        <w:rPr>
          <w:rFonts w:eastAsia="Times New Roman" w:cs="Times New Roman"/>
          <w:color w:val="auto"/>
          <w:kern w:val="0"/>
          <w14:ligatures w14:val="none"/>
        </w:rPr>
        <w:t>Biocare</w:t>
      </w:r>
      <w:proofErr w:type="spellEnd"/>
      <w:r w:rsidRPr="00F46E8A">
        <w:rPr>
          <w:rFonts w:eastAsia="Times New Roman" w:cs="Times New Roman"/>
          <w:color w:val="auto"/>
          <w:kern w:val="0"/>
          <w14:ligatures w14:val="none"/>
        </w:rPr>
        <w:t>, Straumann, and Dentsply Sirona growing substantially through acquiring innovative startups rather than purely organic innovation.</w:t>
      </w:r>
    </w:p>
    <w:p w14:paraId="1E272FCC" w14:textId="77777777" w:rsidR="00F4266F" w:rsidRPr="00F46E8A" w:rsidRDefault="00F4266F" w:rsidP="00F4266F">
      <w:pPr>
        <w:spacing w:before="100" w:beforeAutospacing="1" w:after="100" w:afterAutospacing="1"/>
        <w:ind w:left="0" w:firstLine="0"/>
        <w:jc w:val="left"/>
        <w:rPr>
          <w:rFonts w:eastAsia="Times New Roman" w:cs="Times New Roman"/>
          <w:color w:val="auto"/>
          <w:kern w:val="0"/>
          <w14:ligatures w14:val="none"/>
        </w:rPr>
      </w:pPr>
      <w:r w:rsidRPr="00F46E8A">
        <w:rPr>
          <w:rFonts w:eastAsia="Times New Roman" w:cs="Times New Roman"/>
          <w:color w:val="auto"/>
          <w:kern w:val="0"/>
          <w14:ligatures w14:val="none"/>
        </w:rPr>
        <w:t>This acquisition-based growth model reflects several strategic and structural factors:</w:t>
      </w:r>
    </w:p>
    <w:p w14:paraId="60616AB7"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lastRenderedPageBreak/>
        <w:t>Risk Distribution</w:t>
      </w:r>
      <w:r w:rsidRPr="00F46E8A">
        <w:rPr>
          <w:rFonts w:eastAsia="Times New Roman" w:cs="Times New Roman"/>
          <w:color w:val="auto"/>
          <w:kern w:val="0"/>
          <w14:ligatures w14:val="none"/>
        </w:rPr>
        <w:t>: Entrepreneurial companies bear early-stage development risks—technical uncertainty, regulatory approval challenges, market acceptance unknowns, and capital requirements. Large corporations acquire proven innovations after initial risks have been resolved, paying premium prices but reducing uncertainty about technical feasibility and market potential (</w:t>
      </w:r>
      <w:proofErr w:type="spellStart"/>
      <w:r w:rsidRPr="00F46E8A">
        <w:rPr>
          <w:rFonts w:eastAsia="Times New Roman" w:cs="Times New Roman"/>
          <w:color w:val="auto"/>
          <w:kern w:val="0"/>
          <w14:ligatures w14:val="none"/>
        </w:rPr>
        <w:t>Gelijns</w:t>
      </w:r>
      <w:proofErr w:type="spellEnd"/>
      <w:r w:rsidRPr="00F46E8A">
        <w:rPr>
          <w:rFonts w:eastAsia="Times New Roman" w:cs="Times New Roman"/>
          <w:color w:val="auto"/>
          <w:kern w:val="0"/>
          <w14:ligatures w14:val="none"/>
        </w:rPr>
        <w:t xml:space="preserve"> &amp; Halm, 1991).</w:t>
      </w:r>
    </w:p>
    <w:p w14:paraId="1447E4DF"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Entrepreneurial Incentives</w:t>
      </w:r>
      <w:r w:rsidRPr="00F46E8A">
        <w:rPr>
          <w:rFonts w:eastAsia="Times New Roman" w:cs="Times New Roman"/>
          <w:color w:val="auto"/>
          <w:kern w:val="0"/>
          <w14:ligatures w14:val="none"/>
        </w:rPr>
        <w:t>: The acquisition model creates powerful entrepreneurial incentives, as innovators can develop technologies to acquisition-worthy stages and realize substantial returns through buyouts rather than necessarily building sustainable independent businesses. This encourages innovation by reducing barriers to entry while providing exit opportunities for entrepreneurs lacking resources or interest in scaling manufacturing and distribution.</w:t>
      </w:r>
    </w:p>
    <w:p w14:paraId="2523F231"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Corporate Capabilities</w:t>
      </w:r>
      <w:r w:rsidRPr="00F46E8A">
        <w:rPr>
          <w:rFonts w:eastAsia="Times New Roman" w:cs="Times New Roman"/>
          <w:color w:val="auto"/>
          <w:kern w:val="0"/>
          <w14:ligatures w14:val="none"/>
        </w:rPr>
        <w:t xml:space="preserve">: Large corporations possess capabilities that innovative startups </w:t>
      </w:r>
      <w:proofErr w:type="gramStart"/>
      <w:r w:rsidRPr="00F46E8A">
        <w:rPr>
          <w:rFonts w:eastAsia="Times New Roman" w:cs="Times New Roman"/>
          <w:color w:val="auto"/>
          <w:kern w:val="0"/>
          <w14:ligatures w14:val="none"/>
        </w:rPr>
        <w:t>lack:</w:t>
      </w:r>
      <w:proofErr w:type="gramEnd"/>
      <w:r w:rsidRPr="00F46E8A">
        <w:rPr>
          <w:rFonts w:eastAsia="Times New Roman" w:cs="Times New Roman"/>
          <w:color w:val="auto"/>
          <w:kern w:val="0"/>
          <w14:ligatures w14:val="none"/>
        </w:rPr>
        <w:t xml:space="preserve"> manufacturing scale, distribution networks, marketing expertise, regulatory experience, and financial resources for extended market development. Acquisitions enable rapid capability integration, combining entrepreneurial innovation with corporate infrastructure more quickly than internal development or startup scaling could achieve.</w:t>
      </w:r>
    </w:p>
    <w:p w14:paraId="6F0EF799"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Strategic Portfolio Building</w:t>
      </w:r>
      <w:r w:rsidRPr="00F46E8A">
        <w:rPr>
          <w:rFonts w:eastAsia="Times New Roman" w:cs="Times New Roman"/>
          <w:color w:val="auto"/>
          <w:kern w:val="0"/>
          <w14:ligatures w14:val="none"/>
        </w:rPr>
        <w:t>: Acquisitions enable corporations to rapidly assemble comprehensive product portfolios spanning multiple technologies, materials, and clinical applications. This portfolio breadth creates competitive advantages through one-stop-shopping for practitioners, cross-selling opportunities, and ability to offer complete treatment systems rather than isolated components.</w:t>
      </w:r>
    </w:p>
    <w:p w14:paraId="2C3D9275" w14:textId="77777777" w:rsidR="00F4266F" w:rsidRPr="00F46E8A" w:rsidRDefault="00F4266F" w:rsidP="00F4266F">
      <w:pPr>
        <w:pStyle w:val="GAIA2ndlevel"/>
        <w:rPr>
          <w:rFonts w:eastAsia="Times New Roman"/>
        </w:rPr>
      </w:pPr>
      <w:r w:rsidRPr="00F46E8A">
        <w:rPr>
          <w:rFonts w:eastAsia="Times New Roman"/>
        </w:rPr>
        <w:t>2.2 Measuring and Tracking Market Concentration</w:t>
      </w:r>
    </w:p>
    <w:p w14:paraId="51285F4E"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 xml:space="preserve">While comprehensive market share data for dental implant manufacturers remain proprietary and incomplete, available evidence suggests substantial and increasing concentration. Industry analyses consistently identify three to five major manufacturers controlling majority market shares globally, with Nobel </w:t>
      </w:r>
      <w:proofErr w:type="spellStart"/>
      <w:r w:rsidRPr="00F46E8A">
        <w:rPr>
          <w:rFonts w:eastAsia="Times New Roman" w:cs="Times New Roman"/>
          <w:color w:val="auto"/>
          <w:kern w:val="0"/>
          <w14:ligatures w14:val="none"/>
        </w:rPr>
        <w:t>Biocare</w:t>
      </w:r>
      <w:proofErr w:type="spellEnd"/>
      <w:r w:rsidRPr="00F46E8A">
        <w:rPr>
          <w:rFonts w:eastAsia="Times New Roman" w:cs="Times New Roman"/>
          <w:color w:val="auto"/>
          <w:kern w:val="0"/>
          <w14:ligatures w14:val="none"/>
        </w:rPr>
        <w:t>, Straumann, Dentsply Sirona, Zimmer Biomet, and a few others dominating markets in developed countries (Buser et al., 2017).</w:t>
      </w:r>
    </w:p>
    <w:p w14:paraId="14DD1425" w14:textId="77777777" w:rsidR="00F4266F" w:rsidRPr="00F46E8A" w:rsidRDefault="00F4266F" w:rsidP="00F4266F">
      <w:pPr>
        <w:spacing w:before="100" w:beforeAutospacing="1" w:after="100" w:afterAutospacing="1"/>
        <w:ind w:left="0" w:firstLine="0"/>
        <w:jc w:val="left"/>
        <w:rPr>
          <w:rFonts w:eastAsia="Times New Roman" w:cs="Times New Roman"/>
          <w:color w:val="auto"/>
          <w:kern w:val="0"/>
          <w14:ligatures w14:val="none"/>
        </w:rPr>
      </w:pPr>
      <w:r w:rsidRPr="00F46E8A">
        <w:rPr>
          <w:rFonts w:eastAsia="Times New Roman" w:cs="Times New Roman"/>
          <w:color w:val="auto"/>
          <w:kern w:val="0"/>
          <w14:ligatures w14:val="none"/>
        </w:rPr>
        <w:t>Several indicators suggest increasing concentration over time:</w:t>
      </w:r>
    </w:p>
    <w:p w14:paraId="005A9CFF"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Merger and Acquisition Activity</w:t>
      </w:r>
      <w:r w:rsidRPr="00F46E8A">
        <w:rPr>
          <w:rFonts w:eastAsia="Times New Roman" w:cs="Times New Roman"/>
          <w:color w:val="auto"/>
          <w:kern w:val="0"/>
          <w14:ligatures w14:val="none"/>
        </w:rPr>
        <w:t xml:space="preserve">: The past two decades witnessed substantial M&amp;A activity consolidating previously independent manufacturers into larger corporate structures. Dentsply and Sirona merged in 2016, creating the world's largest dental equipment and materials manufacturer. Straumann acquired multiple smaller companies expanding its portfolio. Nobel </w:t>
      </w:r>
      <w:proofErr w:type="spellStart"/>
      <w:r w:rsidRPr="00F46E8A">
        <w:rPr>
          <w:rFonts w:eastAsia="Times New Roman" w:cs="Times New Roman"/>
          <w:color w:val="auto"/>
          <w:kern w:val="0"/>
          <w14:ligatures w14:val="none"/>
        </w:rPr>
        <w:t>Biocare</w:t>
      </w:r>
      <w:proofErr w:type="spellEnd"/>
      <w:r w:rsidRPr="00F46E8A">
        <w:rPr>
          <w:rFonts w:eastAsia="Times New Roman" w:cs="Times New Roman"/>
          <w:color w:val="auto"/>
          <w:kern w:val="0"/>
          <w14:ligatures w14:val="none"/>
        </w:rPr>
        <w:t xml:space="preserve"> merged with Danaher Corporation's implant businesses before subsequent ownership changes (Buser et al., 2017).</w:t>
      </w:r>
    </w:p>
    <w:p w14:paraId="2F45960A"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Market Exit and Consolidation</w:t>
      </w:r>
      <w:r w:rsidRPr="00F46E8A">
        <w:rPr>
          <w:rFonts w:eastAsia="Times New Roman" w:cs="Times New Roman"/>
          <w:color w:val="auto"/>
          <w:kern w:val="0"/>
          <w14:ligatures w14:val="none"/>
        </w:rPr>
        <w:t>: Smaller manufacturers faced increasing competitive pressure from larger corporations' marketing and distribution advantages, leading some to exit markets or become acquired by larger competitors. This exit pattern reduces the number of independent competitors while concentrating market shares among remaining players.</w:t>
      </w:r>
    </w:p>
    <w:p w14:paraId="1B99C857"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Barriers to Entry</w:t>
      </w:r>
      <w:r w:rsidRPr="00F46E8A">
        <w:rPr>
          <w:rFonts w:eastAsia="Times New Roman" w:cs="Times New Roman"/>
          <w:color w:val="auto"/>
          <w:kern w:val="0"/>
          <w14:ligatures w14:val="none"/>
        </w:rPr>
        <w:t xml:space="preserve">: Capital requirements for establishing viable implant manufacturing—including precision machining capabilities, surface treatment technologies, regulatory approval processes, and clinical validation—create substantial barriers limiting new entry. These barriers enable existing </w:t>
      </w:r>
      <w:r w:rsidRPr="00F46E8A">
        <w:rPr>
          <w:rFonts w:eastAsia="Times New Roman" w:cs="Times New Roman"/>
          <w:color w:val="auto"/>
          <w:kern w:val="0"/>
          <w14:ligatures w14:val="none"/>
        </w:rPr>
        <w:lastRenderedPageBreak/>
        <w:t>manufacturers to maintain dominant positions despite potentially attractive profit margins that might otherwise attract new competitors.</w:t>
      </w:r>
    </w:p>
    <w:p w14:paraId="75A77723" w14:textId="77777777" w:rsidR="00F4266F" w:rsidRPr="00F46E8A" w:rsidRDefault="00F4266F" w:rsidP="00F4266F">
      <w:pPr>
        <w:pStyle w:val="GAIA2ndlevel"/>
        <w:rPr>
          <w:rFonts w:eastAsia="Times New Roman"/>
        </w:rPr>
      </w:pPr>
      <w:r w:rsidRPr="00F46E8A">
        <w:rPr>
          <w:rFonts w:eastAsia="Times New Roman"/>
        </w:rPr>
        <w:t>2.3 Concentration Effects on Pricing and Innovation</w:t>
      </w:r>
    </w:p>
    <w:p w14:paraId="34926922"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Economic theory predicts that market concentration affects outcomes through reduced price competition and altered innovation incentives. Available evidence, though incomplete, suggests these dynamics operate in dental implant markets:</w:t>
      </w:r>
    </w:p>
    <w:p w14:paraId="6FD81B16"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Pricing Power</w:t>
      </w:r>
      <w:r w:rsidRPr="00F46E8A">
        <w:rPr>
          <w:rFonts w:eastAsia="Times New Roman" w:cs="Times New Roman"/>
          <w:color w:val="auto"/>
          <w:kern w:val="0"/>
          <w14:ligatures w14:val="none"/>
        </w:rPr>
        <w:t>: Concentrated markets enable pricing above competitive levels, as major manufacturers face limited competitive pressure constraining price increases. While perfect data on manufacturer-to-provider pricing remain unavailable, the substantial retail price variation documented by GAO (2013)—with fees for identical procedures varying more than 100%—suggests limited price competition at both manufacturer and provider levels. The persistence of high retail prices despite declining manufacturing costs through economies of scale further suggests limited competitive pressure on pricing (</w:t>
      </w:r>
      <w:proofErr w:type="spellStart"/>
      <w:r w:rsidRPr="00F46E8A">
        <w:rPr>
          <w:rFonts w:eastAsia="Times New Roman" w:cs="Times New Roman"/>
          <w:color w:val="auto"/>
          <w:kern w:val="0"/>
          <w14:ligatures w14:val="none"/>
        </w:rPr>
        <w:t>Chernew</w:t>
      </w:r>
      <w:proofErr w:type="spellEnd"/>
      <w:r w:rsidRPr="00F46E8A">
        <w:rPr>
          <w:rFonts w:eastAsia="Times New Roman" w:cs="Times New Roman"/>
          <w:color w:val="auto"/>
          <w:kern w:val="0"/>
          <w14:ligatures w14:val="none"/>
        </w:rPr>
        <w:t xml:space="preserve"> et al., 2021).</w:t>
      </w:r>
    </w:p>
    <w:p w14:paraId="5093FDBF"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Incremental Innovation Emphasis</w:t>
      </w:r>
      <w:r w:rsidRPr="00F46E8A">
        <w:rPr>
          <w:rFonts w:eastAsia="Times New Roman" w:cs="Times New Roman"/>
          <w:color w:val="auto"/>
          <w:kern w:val="0"/>
          <w14:ligatures w14:val="none"/>
        </w:rPr>
        <w:t xml:space="preserve">: Concentrated markets may favor incremental improvements over transformative innovations, as dominant firms seek to protect existing product lines and customer relationships rather than disrupting </w:t>
      </w:r>
      <w:proofErr w:type="gramStart"/>
      <w:r w:rsidRPr="00F46E8A">
        <w:rPr>
          <w:rFonts w:eastAsia="Times New Roman" w:cs="Times New Roman"/>
          <w:color w:val="auto"/>
          <w:kern w:val="0"/>
          <w14:ligatures w14:val="none"/>
        </w:rPr>
        <w:t>markets</w:t>
      </w:r>
      <w:proofErr w:type="gramEnd"/>
      <w:r w:rsidRPr="00F46E8A">
        <w:rPr>
          <w:rFonts w:eastAsia="Times New Roman" w:cs="Times New Roman"/>
          <w:color w:val="auto"/>
          <w:kern w:val="0"/>
          <w14:ligatures w14:val="none"/>
        </w:rPr>
        <w:t xml:space="preserve"> they already control. The dental implant literature documents extensive incremental innovation in surface treatments, connection designs, and instrumentation while fewer genuinely transformative innovations have emerged in recent decades compared to the initial osseointegration breakthrough (</w:t>
      </w:r>
      <w:proofErr w:type="spellStart"/>
      <w:r w:rsidRPr="00F46E8A">
        <w:rPr>
          <w:rFonts w:eastAsia="Times New Roman" w:cs="Times New Roman"/>
          <w:color w:val="auto"/>
          <w:kern w:val="0"/>
          <w14:ligatures w14:val="none"/>
        </w:rPr>
        <w:t>Jemat</w:t>
      </w:r>
      <w:proofErr w:type="spellEnd"/>
      <w:r w:rsidRPr="00F46E8A">
        <w:rPr>
          <w:rFonts w:eastAsia="Times New Roman" w:cs="Times New Roman"/>
          <w:color w:val="auto"/>
          <w:kern w:val="0"/>
          <w14:ligatures w14:val="none"/>
        </w:rPr>
        <w:t xml:space="preserve"> et al., 2015; </w:t>
      </w:r>
      <w:proofErr w:type="spellStart"/>
      <w:r w:rsidRPr="00F46E8A">
        <w:rPr>
          <w:rFonts w:eastAsia="Times New Roman" w:cs="Times New Roman"/>
          <w:color w:val="auto"/>
          <w:kern w:val="0"/>
          <w14:ligatures w14:val="none"/>
        </w:rPr>
        <w:t>Leelanarathiwat</w:t>
      </w:r>
      <w:proofErr w:type="spellEnd"/>
      <w:r w:rsidRPr="00F46E8A">
        <w:rPr>
          <w:rFonts w:eastAsia="Times New Roman" w:cs="Times New Roman"/>
          <w:color w:val="auto"/>
          <w:kern w:val="0"/>
          <w14:ligatures w14:val="none"/>
        </w:rPr>
        <w:t xml:space="preserve"> et al., 2024).</w:t>
      </w:r>
    </w:p>
    <w:p w14:paraId="587A71CF"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Innovation Direction Effects</w:t>
      </w:r>
      <w:r w:rsidRPr="00F46E8A">
        <w:rPr>
          <w:rFonts w:eastAsia="Times New Roman" w:cs="Times New Roman"/>
          <w:color w:val="auto"/>
          <w:kern w:val="0"/>
          <w14:ligatures w14:val="none"/>
        </w:rPr>
        <w:t>: Industry structure influences which technologies receive development investment. Concentrated manufacturers focus innovation on profitable market segments—restorative and aesthetic applications serving affluent patient populations—while less profitable needs including prevention, public health applications, and solutions for underserved populations receive limited attention. This innovation direction bias reflects rational profit-maximization but produces socially suboptimal research priorities (</w:t>
      </w:r>
      <w:proofErr w:type="spellStart"/>
      <w:r w:rsidRPr="00F46E8A">
        <w:rPr>
          <w:rFonts w:eastAsia="Times New Roman" w:cs="Times New Roman"/>
          <w:color w:val="auto"/>
          <w:kern w:val="0"/>
          <w14:ligatures w14:val="none"/>
        </w:rPr>
        <w:t>Gelijns</w:t>
      </w:r>
      <w:proofErr w:type="spellEnd"/>
      <w:r w:rsidRPr="00F46E8A">
        <w:rPr>
          <w:rFonts w:eastAsia="Times New Roman" w:cs="Times New Roman"/>
          <w:color w:val="auto"/>
          <w:kern w:val="0"/>
          <w14:ligatures w14:val="none"/>
        </w:rPr>
        <w:t xml:space="preserve"> &amp; Halm, 1991).</w:t>
      </w:r>
    </w:p>
    <w:p w14:paraId="6C6D01D7" w14:textId="77777777" w:rsidR="00F4266F" w:rsidRPr="00F46E8A" w:rsidRDefault="00F4266F" w:rsidP="00F4266F">
      <w:pPr>
        <w:spacing w:after="0"/>
        <w:ind w:left="0" w:firstLine="0"/>
        <w:jc w:val="left"/>
        <w:rPr>
          <w:rFonts w:eastAsia="Times New Roman" w:cs="Times New Roman"/>
          <w:color w:val="auto"/>
          <w:kern w:val="0"/>
          <w14:ligatures w14:val="none"/>
        </w:rPr>
      </w:pPr>
    </w:p>
    <w:p w14:paraId="2CEC87AC" w14:textId="77777777" w:rsidR="00F4266F" w:rsidRPr="00F46E8A" w:rsidRDefault="00F4266F" w:rsidP="00F4266F">
      <w:pPr>
        <w:pStyle w:val="GAIA1stlevel"/>
        <w:rPr>
          <w:rFonts w:eastAsia="Times New Roman"/>
        </w:rPr>
      </w:pPr>
      <w:r w:rsidRPr="00F46E8A">
        <w:rPr>
          <w:rFonts w:eastAsia="Times New Roman"/>
        </w:rPr>
        <w:t>3. Competitive Strategies: Beyond Price Competition</w:t>
      </w:r>
    </w:p>
    <w:p w14:paraId="091DA0FD" w14:textId="77777777" w:rsidR="00F4266F" w:rsidRPr="00F46E8A" w:rsidRDefault="00F4266F" w:rsidP="00F4266F">
      <w:pPr>
        <w:pStyle w:val="GAIA2ndlevel"/>
        <w:rPr>
          <w:rFonts w:eastAsia="Times New Roman"/>
        </w:rPr>
      </w:pPr>
      <w:r w:rsidRPr="00F46E8A">
        <w:rPr>
          <w:rFonts w:eastAsia="Times New Roman"/>
        </w:rPr>
        <w:t>3.1 Technological Differentiation and Innovation Leadership</w:t>
      </w:r>
    </w:p>
    <w:p w14:paraId="50B5B2AC"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Medical device manufacturers compete through multiple dimensions rather than primarily on price. Technological differentiation represents one critical competitive strategy, with manufacturers investing in proprietary innovations creating perceived performance advantages:</w:t>
      </w:r>
    </w:p>
    <w:p w14:paraId="65944321"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Surface Modification Technologies</w:t>
      </w:r>
      <w:r w:rsidRPr="00F46E8A">
        <w:rPr>
          <w:rFonts w:eastAsia="Times New Roman" w:cs="Times New Roman"/>
          <w:color w:val="auto"/>
          <w:kern w:val="0"/>
          <w14:ligatures w14:val="none"/>
        </w:rPr>
        <w:t>: Manufacturers developed proprietary surface treatments creating claimed advantages in osseointegration speed, bone attachment strength, or long-term stability. The SLA (Sandblasted, Large-grit, Acid-etched) surface treatment became industry standard, with companies developing variations claiming incremental improvements (</w:t>
      </w:r>
      <w:proofErr w:type="spellStart"/>
      <w:r w:rsidRPr="00F46E8A">
        <w:rPr>
          <w:rFonts w:eastAsia="Times New Roman" w:cs="Times New Roman"/>
          <w:color w:val="auto"/>
          <w:kern w:val="0"/>
          <w14:ligatures w14:val="none"/>
        </w:rPr>
        <w:t>Jemat</w:t>
      </w:r>
      <w:proofErr w:type="spellEnd"/>
      <w:r w:rsidRPr="00F46E8A">
        <w:rPr>
          <w:rFonts w:eastAsia="Times New Roman" w:cs="Times New Roman"/>
          <w:color w:val="auto"/>
          <w:kern w:val="0"/>
          <w14:ligatures w14:val="none"/>
        </w:rPr>
        <w:t xml:space="preserve"> et al., 2015). These surface innovations generate competitive differentiation even when clinical evidence for superiority remains limited, as practitioners perceive differences and manufacturers market claimed advantages.</w:t>
      </w:r>
    </w:p>
    <w:p w14:paraId="03E0303E"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lastRenderedPageBreak/>
        <w:t>Connection System Propriety</w:t>
      </w:r>
      <w:r w:rsidRPr="00F46E8A">
        <w:rPr>
          <w:rFonts w:eastAsia="Times New Roman" w:cs="Times New Roman"/>
          <w:color w:val="auto"/>
          <w:kern w:val="0"/>
          <w14:ligatures w14:val="none"/>
        </w:rPr>
        <w:t>: Manufacturers created proprietary connection systems between implants and prosthetic components, generating lock-in effects. Once practitioners invest in one manufacturer's implant system, switching costs prove substantial due to incompatibility with other manufacturers' components. This lock-in creates sustained competitive advantages and recurring revenue from prosthetic component sales (</w:t>
      </w:r>
      <w:proofErr w:type="spellStart"/>
      <w:r w:rsidRPr="00F46E8A">
        <w:rPr>
          <w:rFonts w:eastAsia="Times New Roman" w:cs="Times New Roman"/>
          <w:color w:val="auto"/>
          <w:kern w:val="0"/>
          <w14:ligatures w14:val="none"/>
        </w:rPr>
        <w:t>Leelanarathiwat</w:t>
      </w:r>
      <w:proofErr w:type="spellEnd"/>
      <w:r w:rsidRPr="00F46E8A">
        <w:rPr>
          <w:rFonts w:eastAsia="Times New Roman" w:cs="Times New Roman"/>
          <w:color w:val="auto"/>
          <w:kern w:val="0"/>
          <w14:ligatures w14:val="none"/>
        </w:rPr>
        <w:t xml:space="preserve"> et al., 2024).</w:t>
      </w:r>
    </w:p>
    <w:p w14:paraId="4AA7798A"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Digital Workflow Integration</w:t>
      </w:r>
      <w:r w:rsidRPr="00F46E8A">
        <w:rPr>
          <w:rFonts w:eastAsia="Times New Roman" w:cs="Times New Roman"/>
          <w:color w:val="auto"/>
          <w:kern w:val="0"/>
          <w14:ligatures w14:val="none"/>
        </w:rPr>
        <w:t>: Contemporary competition increasingly involves digital technologies—implant planning software, guided surgical systems, CAD/CAM integration. Manufacturers developing comprehensive digital solutions create differentiation beyond implant hardware, enabling competitive positioning around workflow efficiency and precision rather than purely biological performance (Slavkin, 2012).</w:t>
      </w:r>
    </w:p>
    <w:p w14:paraId="15EE73C2"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Clinical Evidence Generation</w:t>
      </w:r>
      <w:r w:rsidRPr="00F46E8A">
        <w:rPr>
          <w:rFonts w:eastAsia="Times New Roman" w:cs="Times New Roman"/>
          <w:color w:val="auto"/>
          <w:kern w:val="0"/>
          <w14:ligatures w14:val="none"/>
        </w:rPr>
        <w:t>: While the 510(k) regulatory pathway doesn't require extensive clinical trials, manufacturers selectively fund research documenting favorable outcomes for their products. This evidence generation serves marketing purposes, enabling claims about superior performance based on manufacturer-sponsored research. However, industry funding creates potential bias, as studies showing equivalence or inferiority are less likely to be published (Heft et al., 2020).</w:t>
      </w:r>
    </w:p>
    <w:p w14:paraId="77DB9E08" w14:textId="77777777" w:rsidR="00F4266F" w:rsidRPr="00F46E8A" w:rsidRDefault="00F4266F" w:rsidP="00F4266F">
      <w:pPr>
        <w:pStyle w:val="GAIA2ndlevel"/>
        <w:rPr>
          <w:rFonts w:eastAsia="Times New Roman"/>
        </w:rPr>
      </w:pPr>
      <w:r w:rsidRPr="00F46E8A">
        <w:rPr>
          <w:rFonts w:eastAsia="Times New Roman"/>
        </w:rPr>
        <w:t>3.2 Marketing and Brand Development</w:t>
      </w:r>
    </w:p>
    <w:p w14:paraId="3F4AA0D4"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Marketing represents another critical competitive dimension, with manufacturers investing substantially in brand development and promotional activities:</w:t>
      </w:r>
    </w:p>
    <w:p w14:paraId="2D08ABAD"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Direct-to-Consumer Advertising</w:t>
      </w:r>
      <w:r w:rsidRPr="00F46E8A">
        <w:rPr>
          <w:rFonts w:eastAsia="Times New Roman" w:cs="Times New Roman"/>
          <w:color w:val="auto"/>
          <w:kern w:val="0"/>
          <w14:ligatures w14:val="none"/>
        </w:rPr>
        <w:t>: Some manufacturers pursue direct-to-consumer marketing campaigns positioning their products as premium choices. These campaigns bypass professional gatekeepers, creating patient demand that practitioners may feel pressured to accommodate. Direct-to-consumer marketing transforms patients into consumers requesting specific branded products rather than deferring to professional judgment about appropriate technologies (Miller &amp; Patel, 2023).</w:t>
      </w:r>
    </w:p>
    <w:p w14:paraId="40AECA57"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Professional Marketing and Education</w:t>
      </w:r>
      <w:r w:rsidRPr="00F46E8A">
        <w:rPr>
          <w:rFonts w:eastAsia="Times New Roman" w:cs="Times New Roman"/>
          <w:color w:val="auto"/>
          <w:kern w:val="0"/>
          <w14:ligatures w14:val="none"/>
        </w:rPr>
        <w:t>: Manufacturers fund continuing education courses, sponsor professional conferences, support research, and cultivate relationships with opinion leaders. These activities serve dual functions: genuinely educating practitioners about product capabilities while simultaneously promoting manufacturer products and building brand loyalty. The integration of education and marketing creates ethical ambiguities, as practitioners receive valuable training influenced by commercial interests (Heft et al., 2020).</w:t>
      </w:r>
    </w:p>
    <w:p w14:paraId="0C9531D1"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Aspirational Branding</w:t>
      </w:r>
      <w:r w:rsidRPr="00F46E8A">
        <w:rPr>
          <w:rFonts w:eastAsia="Times New Roman" w:cs="Times New Roman"/>
          <w:color w:val="auto"/>
          <w:kern w:val="0"/>
          <w14:ligatures w14:val="none"/>
        </w:rPr>
        <w:t>: Premium manufacturers position products through aspirational branding emphasizing Swiss engineering, precision manufacturing, scientific leadership, or other prestige associations. This branding justifies premium pricing while creating perceived quality differences that may exceed actual performance variations. Lower-priced manufacturers often struggle to overcome prestige differentials even when offering comparable clinical performance.</w:t>
      </w:r>
    </w:p>
    <w:p w14:paraId="52A4D9F8"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Key Opinion Leader Relationships</w:t>
      </w:r>
      <w:r w:rsidRPr="00F46E8A">
        <w:rPr>
          <w:rFonts w:eastAsia="Times New Roman" w:cs="Times New Roman"/>
          <w:color w:val="auto"/>
          <w:kern w:val="0"/>
          <w14:ligatures w14:val="none"/>
        </w:rPr>
        <w:t xml:space="preserve">: Manufacturers cultivate relationships with influential clinicians and academics, providing research funding, consulting arrangements, speaking fees, and other benefits. These opinion leaders then advocate for manufacturer products through publications, conference presentations, and peer influence. While such relationships can facilitate knowledge </w:t>
      </w:r>
      <w:r w:rsidRPr="00F46E8A">
        <w:rPr>
          <w:rFonts w:eastAsia="Times New Roman" w:cs="Times New Roman"/>
          <w:color w:val="auto"/>
          <w:kern w:val="0"/>
          <w14:ligatures w14:val="none"/>
        </w:rPr>
        <w:lastRenderedPageBreak/>
        <w:t>dissemination, they create potential conflicts of interest affecting professional guidance independence (Buser et al., 2017).</w:t>
      </w:r>
    </w:p>
    <w:p w14:paraId="194ADE08" w14:textId="77777777" w:rsidR="00F4266F" w:rsidRPr="00F46E8A" w:rsidRDefault="00F4266F" w:rsidP="00F4266F">
      <w:pPr>
        <w:pStyle w:val="GAIA2ndlevel"/>
        <w:rPr>
          <w:rFonts w:eastAsia="Times New Roman"/>
        </w:rPr>
      </w:pPr>
      <w:r w:rsidRPr="00F46E8A">
        <w:rPr>
          <w:rFonts w:eastAsia="Times New Roman"/>
        </w:rPr>
        <w:t>3.3 Practitioner Relationship Cultivation</w:t>
      </w:r>
    </w:p>
    <w:p w14:paraId="683491B3"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Beyond product characteristics and marketing, manufacturers compete through cultivating strong practitioner relationships:</w:t>
      </w:r>
    </w:p>
    <w:p w14:paraId="43C67417"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Technical Support and Training</w:t>
      </w:r>
      <w:r w:rsidRPr="00F46E8A">
        <w:rPr>
          <w:rFonts w:eastAsia="Times New Roman" w:cs="Times New Roman"/>
          <w:color w:val="auto"/>
          <w:kern w:val="0"/>
          <w14:ligatures w14:val="none"/>
        </w:rPr>
        <w:t xml:space="preserve">: Manufacturers provide extensive technical support, training programs, and clinical guidance helping practitioners successfully utilize their products. This support creates switching costs and loyalty, as practitioners become familiar with specific systems and value ongoing manufacturer assistance. The quality and accessibility of technical support </w:t>
      </w:r>
      <w:proofErr w:type="gramStart"/>
      <w:r w:rsidRPr="00F46E8A">
        <w:rPr>
          <w:rFonts w:eastAsia="Times New Roman" w:cs="Times New Roman"/>
          <w:color w:val="auto"/>
          <w:kern w:val="0"/>
          <w14:ligatures w14:val="none"/>
        </w:rPr>
        <w:t>becomes</w:t>
      </w:r>
      <w:proofErr w:type="gramEnd"/>
      <w:r w:rsidRPr="00F46E8A">
        <w:rPr>
          <w:rFonts w:eastAsia="Times New Roman" w:cs="Times New Roman"/>
          <w:color w:val="auto"/>
          <w:kern w:val="0"/>
          <w14:ligatures w14:val="none"/>
        </w:rPr>
        <w:t xml:space="preserve"> competitive differentiator as important as product characteristics.</w:t>
      </w:r>
    </w:p>
    <w:p w14:paraId="2F607E0F"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Supply Chain Reliability</w:t>
      </w:r>
      <w:r w:rsidRPr="00F46E8A">
        <w:rPr>
          <w:rFonts w:eastAsia="Times New Roman" w:cs="Times New Roman"/>
          <w:color w:val="auto"/>
          <w:kern w:val="0"/>
          <w14:ligatures w14:val="none"/>
        </w:rPr>
        <w:t>: Consistent product availability, reliable delivery, and responsive customer service prove critical for practitioners managing surgical schedules and patient expectations. Manufacturers demonstrating supply chain excellence create competitive advantages through operational execution rather than purely product innovation.</w:t>
      </w:r>
    </w:p>
    <w:p w14:paraId="23D0C7EA"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Financial Arrangements</w:t>
      </w:r>
      <w:r w:rsidRPr="00F46E8A">
        <w:rPr>
          <w:rFonts w:eastAsia="Times New Roman" w:cs="Times New Roman"/>
          <w:color w:val="auto"/>
          <w:kern w:val="0"/>
          <w14:ligatures w14:val="none"/>
        </w:rPr>
        <w:t>: Some manufacturers offer favorable payment terms, equipment financing, or other financial arrangements easing capital requirements for practitioners adopting their systems. These financial relationship dimensions prove particularly important for expensive technologies like digital planning systems or surgical guidance equipment, where upfront costs might otherwise limit adoption.</w:t>
      </w:r>
    </w:p>
    <w:p w14:paraId="1B9213E8"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Practice Development Support</w:t>
      </w:r>
      <w:r w:rsidRPr="00F46E8A">
        <w:rPr>
          <w:rFonts w:eastAsia="Times New Roman" w:cs="Times New Roman"/>
          <w:color w:val="auto"/>
          <w:kern w:val="0"/>
          <w14:ligatures w14:val="none"/>
        </w:rPr>
        <w:t>: Manufacturers provide practice development support including marketing materials for practitioners to use with patients, business consulting on implant practice building, and assistance with insurance navigation. This comprehensive support creates valued relationships extending beyond transactional product sales.</w:t>
      </w:r>
    </w:p>
    <w:p w14:paraId="4E127217" w14:textId="77777777" w:rsidR="00F4266F" w:rsidRPr="00F46E8A" w:rsidRDefault="00F4266F" w:rsidP="00F4266F">
      <w:pPr>
        <w:spacing w:after="0"/>
        <w:ind w:left="0" w:firstLine="0"/>
        <w:jc w:val="left"/>
        <w:rPr>
          <w:rFonts w:eastAsia="Times New Roman" w:cs="Times New Roman"/>
          <w:color w:val="auto"/>
          <w:kern w:val="0"/>
          <w14:ligatures w14:val="none"/>
        </w:rPr>
      </w:pPr>
    </w:p>
    <w:p w14:paraId="34AFA8C9" w14:textId="77777777" w:rsidR="00F4266F" w:rsidRPr="00F46E8A" w:rsidRDefault="00F4266F" w:rsidP="00F4266F">
      <w:pPr>
        <w:pStyle w:val="GAIA1stlevel"/>
        <w:rPr>
          <w:rFonts w:eastAsia="Times New Roman"/>
        </w:rPr>
      </w:pPr>
      <w:r w:rsidRPr="00F46E8A">
        <w:rPr>
          <w:rFonts w:eastAsia="Times New Roman"/>
        </w:rPr>
        <w:t>4. Power Relationships and Manufacturer Influence</w:t>
      </w:r>
    </w:p>
    <w:p w14:paraId="51EAE4FC" w14:textId="77777777" w:rsidR="00F4266F" w:rsidRPr="00F46E8A" w:rsidRDefault="00F4266F" w:rsidP="00F4266F">
      <w:pPr>
        <w:pStyle w:val="GAIA2ndlevel"/>
        <w:rPr>
          <w:rFonts w:eastAsia="Times New Roman"/>
        </w:rPr>
      </w:pPr>
      <w:r w:rsidRPr="00F46E8A">
        <w:rPr>
          <w:rFonts w:eastAsia="Times New Roman"/>
        </w:rPr>
        <w:t>4.1 Asymmetric Bargaining Power: Manufacturers Versus Providers</w:t>
      </w:r>
    </w:p>
    <w:p w14:paraId="3B5F79B4"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 xml:space="preserve">The dental implant market exhibits fundamental power asymmetries between concentrated manufacturers and fragmented providers. Individual practitioners or small practice groups negotiating with major manufacturers face take-it-or-leave-it </w:t>
      </w:r>
      <w:proofErr w:type="gramStart"/>
      <w:r w:rsidRPr="00F46E8A">
        <w:rPr>
          <w:rFonts w:eastAsia="Times New Roman" w:cs="Times New Roman"/>
          <w:color w:val="auto"/>
          <w:kern w:val="0"/>
          <w14:ligatures w14:val="none"/>
        </w:rPr>
        <w:t>pricing</w:t>
      </w:r>
      <w:proofErr w:type="gramEnd"/>
      <w:r w:rsidRPr="00F46E8A">
        <w:rPr>
          <w:rFonts w:eastAsia="Times New Roman" w:cs="Times New Roman"/>
          <w:color w:val="auto"/>
          <w:kern w:val="0"/>
          <w14:ligatures w14:val="none"/>
        </w:rPr>
        <w:t xml:space="preserve"> and terms with minimal negotiating leverage:</w:t>
      </w:r>
    </w:p>
    <w:p w14:paraId="58CCC648"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Purchasing Power Imbalance</w:t>
      </w:r>
      <w:r w:rsidRPr="00F46E8A">
        <w:rPr>
          <w:rFonts w:eastAsia="Times New Roman" w:cs="Times New Roman"/>
          <w:color w:val="auto"/>
          <w:kern w:val="0"/>
          <w14:ligatures w14:val="none"/>
        </w:rPr>
        <w:t>: While manufacturers sell to thousands of individual practitioners, each practitioner purchases from limited manufacturer options (typically 3-5 major players). This creates monopsony risk from manufacturer perspective (many buyers) but oligopoly conditions from practitioner perspective (few sellers). The power asymmetry favors manufacturers, enabling them to maintain pricing and terms that individual practitioners cannot effectively negotiate (</w:t>
      </w:r>
      <w:proofErr w:type="spellStart"/>
      <w:r w:rsidRPr="00F46E8A">
        <w:rPr>
          <w:rFonts w:eastAsia="Times New Roman" w:cs="Times New Roman"/>
          <w:color w:val="auto"/>
          <w:kern w:val="0"/>
          <w14:ligatures w14:val="none"/>
        </w:rPr>
        <w:t>Chernew</w:t>
      </w:r>
      <w:proofErr w:type="spellEnd"/>
      <w:r w:rsidRPr="00F46E8A">
        <w:rPr>
          <w:rFonts w:eastAsia="Times New Roman" w:cs="Times New Roman"/>
          <w:color w:val="auto"/>
          <w:kern w:val="0"/>
          <w14:ligatures w14:val="none"/>
        </w:rPr>
        <w:t xml:space="preserve"> et al., 2021).</w:t>
      </w:r>
    </w:p>
    <w:p w14:paraId="42DF9478"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lastRenderedPageBreak/>
        <w:t>Information Asymmetry</w:t>
      </w:r>
      <w:r w:rsidRPr="00F46E8A">
        <w:rPr>
          <w:rFonts w:eastAsia="Times New Roman" w:cs="Times New Roman"/>
          <w:color w:val="auto"/>
          <w:kern w:val="0"/>
          <w14:ligatures w14:val="none"/>
        </w:rPr>
        <w:t>: Manufacturers possess superior information about costs, profit margins, and competitive alternatives compared to individual practitioners. This information asymmetry compounds bargaining power disparities, as practitioners lack reliable benchmarks for evaluating whether offered prices represent fair terms or excessive mark-ups.</w:t>
      </w:r>
    </w:p>
    <w:p w14:paraId="164F910B"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Switching Costs and Lock-in</w:t>
      </w:r>
      <w:r w:rsidRPr="00F46E8A">
        <w:rPr>
          <w:rFonts w:eastAsia="Times New Roman" w:cs="Times New Roman"/>
          <w:color w:val="auto"/>
          <w:kern w:val="0"/>
          <w14:ligatures w14:val="none"/>
        </w:rPr>
        <w:t xml:space="preserve">: Once practitioners invest </w:t>
      </w:r>
      <w:proofErr w:type="gramStart"/>
      <w:r w:rsidRPr="00F46E8A">
        <w:rPr>
          <w:rFonts w:eastAsia="Times New Roman" w:cs="Times New Roman"/>
          <w:color w:val="auto"/>
          <w:kern w:val="0"/>
          <w14:ligatures w14:val="none"/>
        </w:rPr>
        <w:t>in particular implant</w:t>
      </w:r>
      <w:proofErr w:type="gramEnd"/>
      <w:r w:rsidRPr="00F46E8A">
        <w:rPr>
          <w:rFonts w:eastAsia="Times New Roman" w:cs="Times New Roman"/>
          <w:color w:val="auto"/>
          <w:kern w:val="0"/>
          <w14:ligatures w14:val="none"/>
        </w:rPr>
        <w:t xml:space="preserve"> systems—training in specific protocols, purchasing compatible instrumentation, building experience with </w:t>
      </w:r>
      <w:proofErr w:type="gramStart"/>
      <w:r w:rsidRPr="00F46E8A">
        <w:rPr>
          <w:rFonts w:eastAsia="Times New Roman" w:cs="Times New Roman"/>
          <w:color w:val="auto"/>
          <w:kern w:val="0"/>
          <w14:ligatures w14:val="none"/>
        </w:rPr>
        <w:t>particular products</w:t>
      </w:r>
      <w:proofErr w:type="gramEnd"/>
      <w:r w:rsidRPr="00F46E8A">
        <w:rPr>
          <w:rFonts w:eastAsia="Times New Roman" w:cs="Times New Roman"/>
          <w:color w:val="auto"/>
          <w:kern w:val="0"/>
          <w14:ligatures w14:val="none"/>
        </w:rPr>
        <w:t>—switching costs prove substantial. Manufacturers exploit these lock-in effects, maintaining relationships and pricing power even when practitioners might prefer alternatives. The proprietary connection systems create particularly strong lock-in by making prosthetic components from other manufacturers incompatible (</w:t>
      </w:r>
      <w:proofErr w:type="spellStart"/>
      <w:r w:rsidRPr="00F46E8A">
        <w:rPr>
          <w:rFonts w:eastAsia="Times New Roman" w:cs="Times New Roman"/>
          <w:color w:val="auto"/>
          <w:kern w:val="0"/>
          <w14:ligatures w14:val="none"/>
        </w:rPr>
        <w:t>Leelanarathiwat</w:t>
      </w:r>
      <w:proofErr w:type="spellEnd"/>
      <w:r w:rsidRPr="00F46E8A">
        <w:rPr>
          <w:rFonts w:eastAsia="Times New Roman" w:cs="Times New Roman"/>
          <w:color w:val="auto"/>
          <w:kern w:val="0"/>
          <w14:ligatures w14:val="none"/>
        </w:rPr>
        <w:t xml:space="preserve"> et al., 2024).</w:t>
      </w:r>
    </w:p>
    <w:p w14:paraId="057C177C"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Group Purchasing Organizations</w:t>
      </w:r>
      <w:r w:rsidRPr="00F46E8A">
        <w:rPr>
          <w:rFonts w:eastAsia="Times New Roman" w:cs="Times New Roman"/>
          <w:color w:val="auto"/>
          <w:kern w:val="0"/>
          <w14:ligatures w14:val="none"/>
        </w:rPr>
        <w:t>: Some practitioners attempt to redress power imbalances through group purchasing organizations (GPOs) enabling collective negotiation with manufacturers. GPOs aggregate purchasing volume across multiple practices, creating leverage for negotiating favorable pricing and terms. However, GPO effectiveness varies, and many practitioners—particularly solo practitioners—lack access to such arrangements, perpetuating power asymmetries (Miller &amp; Patel, 2023).</w:t>
      </w:r>
    </w:p>
    <w:p w14:paraId="049DA447" w14:textId="77777777" w:rsidR="00F4266F" w:rsidRPr="00F46E8A" w:rsidRDefault="00F4266F" w:rsidP="00F4266F">
      <w:pPr>
        <w:pStyle w:val="GAIA2ndlevel"/>
        <w:rPr>
          <w:rFonts w:eastAsia="Times New Roman"/>
        </w:rPr>
      </w:pPr>
      <w:r w:rsidRPr="00F46E8A">
        <w:rPr>
          <w:rFonts w:eastAsia="Times New Roman"/>
        </w:rPr>
        <w:t>4.2 Manufacturer Influence Over Professional Education</w:t>
      </w:r>
    </w:p>
    <w:p w14:paraId="2EB3DC0F"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Manufacturers exert substantial influence over professional education through multiple mechanisms, raising concerns about commercial interests shaping clinical training:</w:t>
      </w:r>
    </w:p>
    <w:p w14:paraId="450E01FE"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Continuing Education Sponsorship</w:t>
      </w:r>
      <w:r w:rsidRPr="00F46E8A">
        <w:rPr>
          <w:rFonts w:eastAsia="Times New Roman" w:cs="Times New Roman"/>
          <w:color w:val="auto"/>
          <w:kern w:val="0"/>
          <w14:ligatures w14:val="none"/>
        </w:rPr>
        <w:t>: Manufacturers fund substantial portions of continuing education programming, including courses, conferences, and online learning platforms. While this funding enables educational programming that might not otherwise exist, it creates conflicts of interest as educational content may emphasize techniques and technologies favoring sponsoring manufacturers. The integration of education and marketing proves particularly problematic when practitioners cannot easily distinguish unbiased clinical guidance from commercially motivated recommendations (Heft et al., 2020).</w:t>
      </w:r>
    </w:p>
    <w:p w14:paraId="456F3F3F"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Dental School Partnerships</w:t>
      </w:r>
      <w:r w:rsidRPr="00F46E8A">
        <w:rPr>
          <w:rFonts w:eastAsia="Times New Roman" w:cs="Times New Roman"/>
          <w:color w:val="auto"/>
          <w:kern w:val="0"/>
          <w14:ligatures w14:val="none"/>
        </w:rPr>
        <w:t xml:space="preserve">: Manufacturers provide equipment donations, research funding, and clinical training support to dental schools, establishing relationships with future practitioners during formative training periods. These partnerships benefit schools by providing access to expensive </w:t>
      </w:r>
      <w:proofErr w:type="gramStart"/>
      <w:r w:rsidRPr="00F46E8A">
        <w:rPr>
          <w:rFonts w:eastAsia="Times New Roman" w:cs="Times New Roman"/>
          <w:color w:val="auto"/>
          <w:kern w:val="0"/>
          <w14:ligatures w14:val="none"/>
        </w:rPr>
        <w:t>technologies, but</w:t>
      </w:r>
      <w:proofErr w:type="gramEnd"/>
      <w:r w:rsidRPr="00F46E8A">
        <w:rPr>
          <w:rFonts w:eastAsia="Times New Roman" w:cs="Times New Roman"/>
          <w:color w:val="auto"/>
          <w:kern w:val="0"/>
          <w14:ligatures w14:val="none"/>
        </w:rPr>
        <w:t xml:space="preserve"> may introduce commercial biases into academic curricula and research priorities. Faculty receiving manufacturer research funding may unconsciously favor those manufacturers' products in teaching and clinical guidance (Buser et al., 2017).</w:t>
      </w:r>
    </w:p>
    <w:p w14:paraId="57DA22C9"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Key Opinion Leader Development</w:t>
      </w:r>
      <w:r w:rsidRPr="00F46E8A">
        <w:rPr>
          <w:rFonts w:eastAsia="Times New Roman" w:cs="Times New Roman"/>
          <w:color w:val="auto"/>
          <w:kern w:val="0"/>
          <w14:ligatures w14:val="none"/>
        </w:rPr>
        <w:t>: Manufacturers cultivate relationships with influential educators and clinicians, providing financial support through research grants, consulting arrangements, and speaking fees. These opinion leaders then shape professional discourse through publications, conference presentations, and clinical guideline development. While many opinion leaders maintain integrity despite financial relationships, the potential for bias remains concerning, particularly when financial relationships remain undisclosed or inadequately managed.</w:t>
      </w:r>
    </w:p>
    <w:p w14:paraId="66755D1F"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lastRenderedPageBreak/>
        <w:t>Hands-On Training Programs</w:t>
      </w:r>
      <w:r w:rsidRPr="00F46E8A">
        <w:rPr>
          <w:rFonts w:eastAsia="Times New Roman" w:cs="Times New Roman"/>
          <w:color w:val="auto"/>
          <w:kern w:val="0"/>
          <w14:ligatures w14:val="none"/>
        </w:rPr>
        <w:t xml:space="preserve">: Manufacturers operate training facilities providing hands-on instruction in their products' use. These programs serve genuine educational needs by helping practitioners develop technical </w:t>
      </w:r>
      <w:proofErr w:type="gramStart"/>
      <w:r w:rsidRPr="00F46E8A">
        <w:rPr>
          <w:rFonts w:eastAsia="Times New Roman" w:cs="Times New Roman"/>
          <w:color w:val="auto"/>
          <w:kern w:val="0"/>
          <w14:ligatures w14:val="none"/>
        </w:rPr>
        <w:t>skills, but</w:t>
      </w:r>
      <w:proofErr w:type="gramEnd"/>
      <w:r w:rsidRPr="00F46E8A">
        <w:rPr>
          <w:rFonts w:eastAsia="Times New Roman" w:cs="Times New Roman"/>
          <w:color w:val="auto"/>
          <w:kern w:val="0"/>
          <w14:ligatures w14:val="none"/>
        </w:rPr>
        <w:t xml:space="preserve"> simultaneously function as marketing channels promoting manufacturer products and building brand loyalty. The integration of skill development and product promotion complicates assessment of whether training programs serve primarily educational or commercial objectives.</w:t>
      </w:r>
    </w:p>
    <w:p w14:paraId="3F8261E0" w14:textId="77777777" w:rsidR="00F4266F" w:rsidRPr="00F46E8A" w:rsidRDefault="00F4266F" w:rsidP="00F4266F">
      <w:pPr>
        <w:pStyle w:val="GAIA2ndlevel"/>
        <w:rPr>
          <w:rFonts w:eastAsia="Times New Roman"/>
        </w:rPr>
      </w:pPr>
      <w:r w:rsidRPr="00F46E8A">
        <w:rPr>
          <w:rFonts w:eastAsia="Times New Roman"/>
        </w:rPr>
        <w:t>4.3 Influence Over Clinical Guidelines and Standards</w:t>
      </w:r>
    </w:p>
    <w:p w14:paraId="07F1B2A2"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Beyond individual practitioner education, manufacturers influence broader professional standards and clinical guidelines:</w:t>
      </w:r>
    </w:p>
    <w:p w14:paraId="5E5EA5AD"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Professional Organization Relationships</w:t>
      </w:r>
      <w:r w:rsidRPr="00F46E8A">
        <w:rPr>
          <w:rFonts w:eastAsia="Times New Roman" w:cs="Times New Roman"/>
          <w:color w:val="auto"/>
          <w:kern w:val="0"/>
          <w14:ligatures w14:val="none"/>
        </w:rPr>
        <w:t>: Manufacturers provide substantial financial support to professional organizations through conference sponsorship, publication funding, and direct grants. This financial relationship creates potential conflicts as organizations develop clinical guidelines, accreditation standards, and policy positions. While professional organizations implement conflict-of-interest policies, manufacturer funding inevitably creates appearance concerns if not actual bias in organizational positions and priorities (Heft et al., 2020).</w:t>
      </w:r>
    </w:p>
    <w:p w14:paraId="7006B9DB"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Research Agenda Setting</w:t>
      </w:r>
      <w:r w:rsidRPr="00F46E8A">
        <w:rPr>
          <w:rFonts w:eastAsia="Times New Roman" w:cs="Times New Roman"/>
          <w:color w:val="auto"/>
          <w:kern w:val="0"/>
          <w14:ligatures w14:val="none"/>
        </w:rPr>
        <w:t>: Manufacturer research funding influences which questions receive investigation. Studies examining manufacturer products' effectiveness receive support, while research comparing competing products, evaluating lower-cost alternatives, or questioning technology necessity may face funding challenges. This selective research support shapes evidence bases that clinical guidelines rely upon, potentially biasing guidelines toward manufacturer-favored approaches (Buser et al., 2017).</w:t>
      </w:r>
    </w:p>
    <w:p w14:paraId="4D1508DC"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Regulatory Standard Participation</w:t>
      </w:r>
      <w:r w:rsidRPr="00F46E8A">
        <w:rPr>
          <w:rFonts w:eastAsia="Times New Roman" w:cs="Times New Roman"/>
          <w:color w:val="auto"/>
          <w:kern w:val="0"/>
          <w14:ligatures w14:val="none"/>
        </w:rPr>
        <w:t xml:space="preserve">: Manufacturers participate in regulatory standard development processes, bringing technical expertise about product capabilities and manufacturing requirements. However, this participation also enables manufacturers to influence standards in ways favoring their interests—such as requirements that smaller competitors cannot easily meet, or performance metrics emphasizing dimensions where </w:t>
      </w:r>
      <w:proofErr w:type="gramStart"/>
      <w:r w:rsidRPr="00F46E8A">
        <w:rPr>
          <w:rFonts w:eastAsia="Times New Roman" w:cs="Times New Roman"/>
          <w:color w:val="auto"/>
          <w:kern w:val="0"/>
          <w14:ligatures w14:val="none"/>
        </w:rPr>
        <w:t>particular manufacturers</w:t>
      </w:r>
      <w:proofErr w:type="gramEnd"/>
      <w:r w:rsidRPr="00F46E8A">
        <w:rPr>
          <w:rFonts w:eastAsia="Times New Roman" w:cs="Times New Roman"/>
          <w:color w:val="auto"/>
          <w:kern w:val="0"/>
          <w14:ligatures w14:val="none"/>
        </w:rPr>
        <w:t xml:space="preserve"> excel. The legitimate need for manufacturer technical input must be balanced against potential for self-interested standard development (</w:t>
      </w:r>
      <w:proofErr w:type="spellStart"/>
      <w:r w:rsidRPr="00F46E8A">
        <w:rPr>
          <w:rFonts w:eastAsia="Times New Roman" w:cs="Times New Roman"/>
          <w:color w:val="auto"/>
          <w:kern w:val="0"/>
          <w14:ligatures w14:val="none"/>
        </w:rPr>
        <w:t>Gelijns</w:t>
      </w:r>
      <w:proofErr w:type="spellEnd"/>
      <w:r w:rsidRPr="00F46E8A">
        <w:rPr>
          <w:rFonts w:eastAsia="Times New Roman" w:cs="Times New Roman"/>
          <w:color w:val="auto"/>
          <w:kern w:val="0"/>
          <w14:ligatures w14:val="none"/>
        </w:rPr>
        <w:t xml:space="preserve"> &amp; Halm, 1991).</w:t>
      </w:r>
    </w:p>
    <w:p w14:paraId="3B01B4F7" w14:textId="77777777" w:rsidR="00F4266F" w:rsidRPr="00F46E8A" w:rsidRDefault="00F4266F" w:rsidP="00F4266F">
      <w:pPr>
        <w:spacing w:after="0"/>
        <w:ind w:left="0" w:firstLine="0"/>
        <w:rPr>
          <w:rFonts w:eastAsia="Times New Roman" w:cs="Times New Roman"/>
          <w:color w:val="auto"/>
          <w:kern w:val="0"/>
          <w14:ligatures w14:val="none"/>
        </w:rPr>
      </w:pPr>
    </w:p>
    <w:p w14:paraId="4B8847CA" w14:textId="77777777" w:rsidR="00F4266F" w:rsidRPr="00F46E8A" w:rsidRDefault="00F4266F" w:rsidP="00F4266F">
      <w:pPr>
        <w:pStyle w:val="GAIA1stlevel"/>
        <w:rPr>
          <w:rFonts w:eastAsia="Times New Roman"/>
        </w:rPr>
      </w:pPr>
      <w:r w:rsidRPr="00F46E8A">
        <w:rPr>
          <w:rFonts w:eastAsia="Times New Roman"/>
        </w:rPr>
        <w:t>5. Innovation Dynamics and Research Priorities</w:t>
      </w:r>
    </w:p>
    <w:p w14:paraId="4636E4FA" w14:textId="77777777" w:rsidR="00F4266F" w:rsidRPr="00F46E8A" w:rsidRDefault="00F4266F" w:rsidP="00F4266F">
      <w:pPr>
        <w:pStyle w:val="GAIA2ndlevel"/>
        <w:rPr>
          <w:rFonts w:eastAsia="Times New Roman"/>
        </w:rPr>
      </w:pPr>
      <w:r w:rsidRPr="00F46E8A">
        <w:rPr>
          <w:rFonts w:eastAsia="Times New Roman"/>
        </w:rPr>
        <w:t>5.1 The Incremental Innovation Bias</w:t>
      </w:r>
    </w:p>
    <w:p w14:paraId="42FB276F"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Market structure fundamentally affects innovation trajectories and research priorities. Concentrated markets dominated by established manufacturers tend to favor incremental innovations over transformative breakthroughs:</w:t>
      </w:r>
    </w:p>
    <w:p w14:paraId="38249448"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Sustaining Versus Disruptive Innovation</w:t>
      </w:r>
      <w:r w:rsidRPr="00F46E8A">
        <w:rPr>
          <w:rFonts w:eastAsia="Times New Roman" w:cs="Times New Roman"/>
          <w:color w:val="auto"/>
          <w:kern w:val="0"/>
          <w14:ligatures w14:val="none"/>
        </w:rPr>
        <w:t xml:space="preserve">: Christensen et al. (2015) distinguish between sustaining innovations that improve existing products along established performance dimensions versus disruptive innovations that initially perform worse on traditional metrics but offer different value propositions appealing to overlooked market segments. Examining dental innovations through this </w:t>
      </w:r>
      <w:r w:rsidRPr="00F46E8A">
        <w:rPr>
          <w:rFonts w:eastAsia="Times New Roman" w:cs="Times New Roman"/>
          <w:color w:val="auto"/>
          <w:kern w:val="0"/>
          <w14:ligatures w14:val="none"/>
        </w:rPr>
        <w:lastRenderedPageBreak/>
        <w:t>framework reveals that most highly-rated innovations represent sustaining improvements—better materials, enhanced imaging, refined techniques—enabling practitioners to perform familiar tasks better rather than fundamentally disrupting practice models. Even implant dentistry, characterized as a "paradigm shift," functioned largely as sustaining innovation enabling better solutions to existing problems (tooth replacement) rather than creating new markets or practice models (Buser et al., 2017).</w:t>
      </w:r>
    </w:p>
    <w:p w14:paraId="6E596884"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Incremental Refinement Pattern</w:t>
      </w:r>
      <w:r w:rsidRPr="00F46E8A">
        <w:rPr>
          <w:rFonts w:eastAsia="Times New Roman" w:cs="Times New Roman"/>
          <w:color w:val="auto"/>
          <w:kern w:val="0"/>
          <w14:ligatures w14:val="none"/>
        </w:rPr>
        <w:t>: Following the foundational osseointegration breakthrough, subsequent decades witnessed extensive incremental innovation focused on optimization—surface modifications enhancing osseointegration speed, connection designs improving prosthetic stability, surgical techniques reducing complications. While these refinements provide genuine value, they represent systematic improvement of established approaches rather than revolutionary alternatives. This pattern exemplifies how concentrated markets favor incremental refinement protecting existing product lines over transformative innovations potentially disrupting established markets (</w:t>
      </w:r>
      <w:proofErr w:type="spellStart"/>
      <w:r w:rsidRPr="00F46E8A">
        <w:rPr>
          <w:rFonts w:eastAsia="Times New Roman" w:cs="Times New Roman"/>
          <w:color w:val="auto"/>
          <w:kern w:val="0"/>
          <w14:ligatures w14:val="none"/>
        </w:rPr>
        <w:t>Jemat</w:t>
      </w:r>
      <w:proofErr w:type="spellEnd"/>
      <w:r w:rsidRPr="00F46E8A">
        <w:rPr>
          <w:rFonts w:eastAsia="Times New Roman" w:cs="Times New Roman"/>
          <w:color w:val="auto"/>
          <w:kern w:val="0"/>
          <w14:ligatures w14:val="none"/>
        </w:rPr>
        <w:t xml:space="preserve"> et al., 2015; </w:t>
      </w:r>
      <w:proofErr w:type="spellStart"/>
      <w:r w:rsidRPr="00F46E8A">
        <w:rPr>
          <w:rFonts w:eastAsia="Times New Roman" w:cs="Times New Roman"/>
          <w:color w:val="auto"/>
          <w:kern w:val="0"/>
          <w14:ligatures w14:val="none"/>
        </w:rPr>
        <w:t>Leelanarathiwat</w:t>
      </w:r>
      <w:proofErr w:type="spellEnd"/>
      <w:r w:rsidRPr="00F46E8A">
        <w:rPr>
          <w:rFonts w:eastAsia="Times New Roman" w:cs="Times New Roman"/>
          <w:color w:val="auto"/>
          <w:kern w:val="0"/>
          <w14:ligatures w14:val="none"/>
        </w:rPr>
        <w:t xml:space="preserve"> et al., 2024).</w:t>
      </w:r>
    </w:p>
    <w:p w14:paraId="770B9266"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Clinical Evidence Gaps</w:t>
      </w:r>
      <w:r w:rsidRPr="00F46E8A">
        <w:rPr>
          <w:rFonts w:eastAsia="Times New Roman" w:cs="Times New Roman"/>
          <w:color w:val="auto"/>
          <w:kern w:val="0"/>
          <w14:ligatures w14:val="none"/>
        </w:rPr>
        <w:t>: The emphasis on incremental innovation contributes to persistent gaps between documented technological capabilities and quantitative patient outcome evidence. Manufacturers invest in developing new surface treatments or design variations but conduct limited rigorous clinical trials comparing outcomes to existing alternatives. This reflects rational calculation: incremental innovations can achieve regulatory approval through substantial equivalence demonstrations without expensive comparative trials, and clinical equivalence findings provide little marketing advantage over claims of technical superiority (Heft et al., 2020).</w:t>
      </w:r>
    </w:p>
    <w:p w14:paraId="11FC5C67" w14:textId="77777777" w:rsidR="00F4266F" w:rsidRPr="00F46E8A" w:rsidRDefault="00F4266F" w:rsidP="00F4266F">
      <w:pPr>
        <w:pStyle w:val="GAIA2ndlevel"/>
        <w:rPr>
          <w:rFonts w:eastAsia="Times New Roman"/>
        </w:rPr>
      </w:pPr>
      <w:r w:rsidRPr="00F46E8A">
        <w:rPr>
          <w:rFonts w:eastAsia="Times New Roman"/>
        </w:rPr>
        <w:t>5.2 Research Priority Distortions</w:t>
      </w:r>
    </w:p>
    <w:p w14:paraId="19718CF3"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Industry structure affects not only innovation type but also which clinical problems receive research attention:</w:t>
      </w:r>
    </w:p>
    <w:p w14:paraId="3438FC3A"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Profitable Market Segment Focus</w:t>
      </w:r>
      <w:r w:rsidRPr="00F46E8A">
        <w:rPr>
          <w:rFonts w:eastAsia="Times New Roman" w:cs="Times New Roman"/>
          <w:color w:val="auto"/>
          <w:kern w:val="0"/>
          <w14:ligatures w14:val="none"/>
        </w:rPr>
        <w:t>: Innovation concentrates in restorative, prosthodontic, and aesthetic applications serving affluent patient populations willing and able to pay premium prices for advanced technologies. These areas offer favorable economics through fee-for-service payment with limited insurance constraints, enabling manufacturers to charge premium prices and achieve attractive profit margins. Conversely, preventive technologies, public health interventions, and treatments for underserved populations receive limited innovation investment despite potentially greater public health impact (Slavkin, 2012).</w:t>
      </w:r>
    </w:p>
    <w:p w14:paraId="09310E85"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Geography of Innovation</w:t>
      </w:r>
      <w:r w:rsidRPr="00F46E8A">
        <w:rPr>
          <w:rFonts w:eastAsia="Times New Roman" w:cs="Times New Roman"/>
          <w:color w:val="auto"/>
          <w:kern w:val="0"/>
          <w14:ligatures w14:val="none"/>
        </w:rPr>
        <w:t>: Innovation priorities reflect developed country markets where purchasing power and insurance coverage support premium pricing. Technologies addressing oral health problems prevalent in low- and middle-income countries but rare in affluent markets receive minimal attention, as manufacturers rationally pursue larger and more profitable markets. This geographic bias in innovation priorities means technology development inadequately serves global disease burdens (Garla, 2014).</w:t>
      </w:r>
    </w:p>
    <w:p w14:paraId="3A06C8CD" w14:textId="77777777" w:rsidR="00F4266F" w:rsidRPr="00F46E8A" w:rsidRDefault="00F4266F" w:rsidP="00F4266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Age and Demographic Targeting</w:t>
      </w:r>
      <w:r w:rsidRPr="00F46E8A">
        <w:rPr>
          <w:rFonts w:eastAsia="Times New Roman" w:cs="Times New Roman"/>
          <w:color w:val="auto"/>
          <w:kern w:val="0"/>
          <w14:ligatures w14:val="none"/>
        </w:rPr>
        <w:t xml:space="preserve">: Innovation priorities increasingly emphasize aesthetic applications and technologies serving older, affluent populations concerned with appearance maintenance and age-related tooth loss. While these represent legitimate clinical needs, the relative emphasis on aesthetic innovations versus technologies addressing pediatric dental disease, special </w:t>
      </w:r>
      <w:r w:rsidRPr="00F46E8A">
        <w:rPr>
          <w:rFonts w:eastAsia="Times New Roman" w:cs="Times New Roman"/>
          <w:color w:val="auto"/>
          <w:kern w:val="0"/>
          <w14:ligatures w14:val="none"/>
        </w:rPr>
        <w:lastRenderedPageBreak/>
        <w:t>needs populations, or other less profitable demographics suggests that commercial profitability shapes research priorities as much as clinical burden.</w:t>
      </w:r>
    </w:p>
    <w:p w14:paraId="31523B10" w14:textId="77777777" w:rsidR="00F4266F" w:rsidRPr="00F46E8A" w:rsidRDefault="00F4266F" w:rsidP="00F4266F">
      <w:pPr>
        <w:pStyle w:val="GAIA2ndlevel"/>
        <w:rPr>
          <w:rFonts w:eastAsia="Times New Roman"/>
        </w:rPr>
      </w:pPr>
      <w:r w:rsidRPr="00F46E8A">
        <w:rPr>
          <w:rFonts w:eastAsia="Times New Roman"/>
        </w:rPr>
        <w:t>5.3 Barriers to Transformative Innovation</w:t>
      </w:r>
    </w:p>
    <w:p w14:paraId="3AB09F71"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Beyond favoring incremental improvements, concentrated markets may actively impede transformative innovations that threaten established products:</w:t>
      </w:r>
    </w:p>
    <w:p w14:paraId="24E18898"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Incumbent Resistance</w:t>
      </w:r>
      <w:r w:rsidRPr="00F46E8A">
        <w:rPr>
          <w:rFonts w:eastAsia="Times New Roman" w:cs="Times New Roman"/>
          <w:color w:val="auto"/>
          <w:kern w:val="0"/>
          <w14:ligatures w14:val="none"/>
        </w:rPr>
        <w:t>: Dominant manufacturers controlling substantial market shares through established product lines have limited incentive to pursue innovations that might cannibalize existing revenues. When transformative innovations emerge from startups or academic researchers, incumbents may acquire these innovations to control market introduction timing, or to prevent adoption altogether if technologies threaten more profitable existing products.</w:t>
      </w:r>
    </w:p>
    <w:p w14:paraId="7B420130"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Regulatory Pathway Exploitation</w:t>
      </w:r>
      <w:r w:rsidRPr="00F46E8A">
        <w:rPr>
          <w:rFonts w:eastAsia="Times New Roman" w:cs="Times New Roman"/>
          <w:color w:val="auto"/>
          <w:kern w:val="0"/>
          <w14:ligatures w14:val="none"/>
        </w:rPr>
        <w:t>: The 510(k) substantial equivalence pathway, while facilitating incremental innovation, may disadvantage transformative innovations without clear predicate devices. Novel technologies requiring Class III approval with clinical trial evidence face greater barriers than incremental improvements demonstrating equivalence to existing devices. This regulatory structure inadvertently favors sustaining over disruptive innovation (</w:t>
      </w:r>
      <w:proofErr w:type="spellStart"/>
      <w:r w:rsidRPr="00F46E8A">
        <w:rPr>
          <w:rFonts w:eastAsia="Times New Roman" w:cs="Times New Roman"/>
          <w:color w:val="auto"/>
          <w:kern w:val="0"/>
          <w14:ligatures w14:val="none"/>
        </w:rPr>
        <w:t>Gelijns</w:t>
      </w:r>
      <w:proofErr w:type="spellEnd"/>
      <w:r w:rsidRPr="00F46E8A">
        <w:rPr>
          <w:rFonts w:eastAsia="Times New Roman" w:cs="Times New Roman"/>
          <w:color w:val="auto"/>
          <w:kern w:val="0"/>
          <w14:ligatures w14:val="none"/>
        </w:rPr>
        <w:t xml:space="preserve"> &amp; Halm, 1991).</w:t>
      </w:r>
    </w:p>
    <w:p w14:paraId="2E3483B4"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Professional Inertia</w:t>
      </w:r>
      <w:r w:rsidRPr="00F46E8A">
        <w:rPr>
          <w:rFonts w:eastAsia="Times New Roman" w:cs="Times New Roman"/>
          <w:color w:val="auto"/>
          <w:kern w:val="0"/>
          <w14:ligatures w14:val="none"/>
        </w:rPr>
        <w:t>: Established manufacturers cultivating relationships with opinion leaders and educators may indirectly discourage transformative innovations requiring practitioners to abandon familiar techniques and adopt novel approaches. When opinion leaders with manufacturer relationships advocate for established approaches, emerging alternatives face professional acceptance barriers regardless of technical merit.</w:t>
      </w:r>
    </w:p>
    <w:p w14:paraId="2FAD4E35" w14:textId="77777777" w:rsidR="00F4266F" w:rsidRPr="00F46E8A" w:rsidRDefault="00F4266F" w:rsidP="00F4266F">
      <w:pPr>
        <w:spacing w:after="0"/>
        <w:ind w:left="0" w:firstLine="0"/>
        <w:jc w:val="left"/>
        <w:rPr>
          <w:rFonts w:eastAsia="Times New Roman" w:cs="Times New Roman"/>
          <w:color w:val="auto"/>
          <w:kern w:val="0"/>
          <w14:ligatures w14:val="none"/>
        </w:rPr>
      </w:pPr>
    </w:p>
    <w:p w14:paraId="269E1B7A" w14:textId="77777777" w:rsidR="00F4266F" w:rsidRPr="00F46E8A" w:rsidRDefault="00F4266F" w:rsidP="0084131F">
      <w:pPr>
        <w:pStyle w:val="GAIA1stlevel"/>
        <w:rPr>
          <w:rFonts w:eastAsia="Times New Roman"/>
        </w:rPr>
      </w:pPr>
      <w:r w:rsidRPr="00F46E8A">
        <w:rPr>
          <w:rFonts w:eastAsia="Times New Roman"/>
        </w:rPr>
        <w:t>6. Regulatory Frameworks and Competitive Dynamics</w:t>
      </w:r>
    </w:p>
    <w:p w14:paraId="1A90D118" w14:textId="77777777" w:rsidR="00F4266F" w:rsidRPr="00F46E8A" w:rsidRDefault="00F4266F" w:rsidP="0084131F">
      <w:pPr>
        <w:pStyle w:val="GAIA2ndlevel"/>
        <w:rPr>
          <w:rFonts w:eastAsia="Times New Roman"/>
        </w:rPr>
      </w:pPr>
      <w:r w:rsidRPr="00F46E8A">
        <w:rPr>
          <w:rFonts w:eastAsia="Times New Roman"/>
        </w:rPr>
        <w:t>6.1 The 510(k) Pathway and Market Entry</w:t>
      </w:r>
    </w:p>
    <w:p w14:paraId="40B23AEB"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Medical device regulation profoundly affects industry structure and competitive dynamics. The U.S. Medical Device Amendments of 1976 established three regulatory classes for devices based on risk and created the 510(k) premarket notification pathway, which allows manufacturers to market devices "substantially equivalent" to predicate devices already on the market without conducting clinical trials (</w:t>
      </w:r>
      <w:proofErr w:type="spellStart"/>
      <w:r w:rsidRPr="00F46E8A">
        <w:rPr>
          <w:rFonts w:eastAsia="Times New Roman" w:cs="Times New Roman"/>
          <w:color w:val="auto"/>
          <w:kern w:val="0"/>
          <w14:ligatures w14:val="none"/>
        </w:rPr>
        <w:t>Gelijns</w:t>
      </w:r>
      <w:proofErr w:type="spellEnd"/>
      <w:r w:rsidRPr="00F46E8A">
        <w:rPr>
          <w:rFonts w:eastAsia="Times New Roman" w:cs="Times New Roman"/>
          <w:color w:val="auto"/>
          <w:kern w:val="0"/>
          <w14:ligatures w14:val="none"/>
        </w:rPr>
        <w:t xml:space="preserve"> &amp; Halm, 1991).</w:t>
      </w:r>
    </w:p>
    <w:p w14:paraId="108B21DD"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Most dental devices fall into Class I (lowest risk, general controls) or Class II (moderate risk, special controls), with few dental technologies classified as Class III (highest risk, requiring premarket approval with clinical data). This regulatory structure facilitates rapid market entry for dental innovations but creates several dynamics affecting competition:</w:t>
      </w:r>
    </w:p>
    <w:p w14:paraId="449EE29E"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Evidence Generation Disincentives</w:t>
      </w:r>
      <w:r w:rsidRPr="00F46E8A">
        <w:rPr>
          <w:rFonts w:eastAsia="Times New Roman" w:cs="Times New Roman"/>
          <w:color w:val="auto"/>
          <w:kern w:val="0"/>
          <w14:ligatures w14:val="none"/>
        </w:rPr>
        <w:t xml:space="preserve">: The 510(k) pathway's substantial equivalence standard creates limited incentive for manufacturers to conduct rigorous clinical outcome studies. If market approval requires only demonstrating similarity to existing devices rather than proving superior outcomes, manufacturers rationally minimize expensive clinical research. This structure helps explain the </w:t>
      </w:r>
      <w:r w:rsidRPr="00F46E8A">
        <w:rPr>
          <w:rFonts w:eastAsia="Times New Roman" w:cs="Times New Roman"/>
          <w:color w:val="auto"/>
          <w:kern w:val="0"/>
          <w14:ligatures w14:val="none"/>
        </w:rPr>
        <w:lastRenderedPageBreak/>
        <w:t>persistent gap between documented technological capabilities and quantitative patient outcome evidence characterizing dental device literature (Heft et al., 2020).</w:t>
      </w:r>
    </w:p>
    <w:p w14:paraId="1E689E3E"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Predicate Chain Concerns</w:t>
      </w:r>
      <w:r w:rsidRPr="00F46E8A">
        <w:rPr>
          <w:rFonts w:eastAsia="Times New Roman" w:cs="Times New Roman"/>
          <w:color w:val="auto"/>
          <w:kern w:val="0"/>
          <w14:ligatures w14:val="none"/>
        </w:rPr>
        <w:t>: Devices approved based on substantial equivalence to predicates that were themselves approved based on equivalence to earlier devices can drift substantially from original device characteristics and performance. This predicate chain potentially allows inadequately tested innovations to reach market, while simultaneously creating pathways for incremental improvements that maintain substantial equivalence claims across multiple generations of product development.</w:t>
      </w:r>
    </w:p>
    <w:p w14:paraId="2E8B7802"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Competitive Entry Facilitation</w:t>
      </w:r>
      <w:r w:rsidRPr="00F46E8A">
        <w:rPr>
          <w:rFonts w:eastAsia="Times New Roman" w:cs="Times New Roman"/>
          <w:color w:val="auto"/>
          <w:kern w:val="0"/>
          <w14:ligatures w14:val="none"/>
        </w:rPr>
        <w:t>: The 510(k) pathway's relatively light regulatory burden reduces barriers to entry compared to pharmaceutical development, enabling smaller manufacturers and startups to bring innovations to market without massive capital requirements for clinical trials. This facilitates the entrepreneurial innovation-corporate acquisition model, as startups can develop and achieve regulatory approval for innovations with moderate resources before seeking acquisition by larger manufacturers (</w:t>
      </w:r>
      <w:proofErr w:type="spellStart"/>
      <w:r w:rsidRPr="00F46E8A">
        <w:rPr>
          <w:rFonts w:eastAsia="Times New Roman" w:cs="Times New Roman"/>
          <w:color w:val="auto"/>
          <w:kern w:val="0"/>
          <w14:ligatures w14:val="none"/>
        </w:rPr>
        <w:t>Gelijns</w:t>
      </w:r>
      <w:proofErr w:type="spellEnd"/>
      <w:r w:rsidRPr="00F46E8A">
        <w:rPr>
          <w:rFonts w:eastAsia="Times New Roman" w:cs="Times New Roman"/>
          <w:color w:val="auto"/>
          <w:kern w:val="0"/>
          <w14:ligatures w14:val="none"/>
        </w:rPr>
        <w:t xml:space="preserve"> &amp; Halm, 1991).</w:t>
      </w:r>
    </w:p>
    <w:p w14:paraId="3787A325" w14:textId="77777777" w:rsidR="00F4266F" w:rsidRPr="00F46E8A" w:rsidRDefault="00F4266F" w:rsidP="0084131F">
      <w:pPr>
        <w:pStyle w:val="GAIA2ndlevel"/>
        <w:rPr>
          <w:rFonts w:eastAsia="Times New Roman"/>
        </w:rPr>
      </w:pPr>
      <w:r w:rsidRPr="00F46E8A">
        <w:rPr>
          <w:rFonts w:eastAsia="Times New Roman"/>
        </w:rPr>
        <w:t>6.2 International Regulatory Variation</w:t>
      </w:r>
    </w:p>
    <w:p w14:paraId="698A81AE"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Regulatory requirements vary substantially across countries, affecting competitive dynamics and market strategies:</w:t>
      </w:r>
    </w:p>
    <w:p w14:paraId="019DD5BE"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Market Approval Timing</w:t>
      </w:r>
      <w:r w:rsidRPr="00F46E8A">
        <w:rPr>
          <w:rFonts w:eastAsia="Times New Roman" w:cs="Times New Roman"/>
          <w:color w:val="auto"/>
          <w:kern w:val="0"/>
          <w14:ligatures w14:val="none"/>
        </w:rPr>
        <w:t>: Different regulatory stringency across jurisdictions creates opportunities for manufacturers to pursue faster approval routes in permissive markets before seeking approval in more stringent jurisdictions. Some dental technologies reached European markets before U.S. approval, potentially providing early evidence about performance and complications while generating revenue supporting further development.</w:t>
      </w:r>
    </w:p>
    <w:p w14:paraId="1F1D9239"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Regulatory Arbitrage</w:t>
      </w:r>
      <w:r w:rsidRPr="00F46E8A">
        <w:rPr>
          <w:rFonts w:eastAsia="Times New Roman" w:cs="Times New Roman"/>
          <w:color w:val="auto"/>
          <w:kern w:val="0"/>
          <w14:ligatures w14:val="none"/>
        </w:rPr>
        <w:t>: Manufacturers may strategically locate operations in jurisdictions with favorable regulatory environments while marketing globally. This regulatory arbitrage enables manufacturers to minimize compliance costs while accessing diverse markets, though increasing international regulatory coordination has reduced arbitrage opportunities in recent years.</w:t>
      </w:r>
    </w:p>
    <w:p w14:paraId="4C7F5106"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Competitive Disadvantages</w:t>
      </w:r>
      <w:r w:rsidRPr="00F46E8A">
        <w:rPr>
          <w:rFonts w:eastAsia="Times New Roman" w:cs="Times New Roman"/>
          <w:color w:val="auto"/>
          <w:kern w:val="0"/>
          <w14:ligatures w14:val="none"/>
        </w:rPr>
        <w:t>: Smaller manufacturers, particularly those from developing countries, may lack resources and expertise for navigating multiple regulatory systems. This creates competitive disadvantages relative to large multinationals with regulatory affairs departments managing global approval processes. The regulatory complexity thus inadvertently favors industry concentration by creating scale advantages in regulatory navigation.</w:t>
      </w:r>
    </w:p>
    <w:p w14:paraId="4B5440FD" w14:textId="77777777" w:rsidR="00F4266F" w:rsidRPr="00F46E8A" w:rsidRDefault="00F4266F" w:rsidP="0084131F">
      <w:pPr>
        <w:pStyle w:val="GAIA2ndlevel"/>
        <w:rPr>
          <w:rFonts w:eastAsia="Times New Roman"/>
        </w:rPr>
      </w:pPr>
      <w:r w:rsidRPr="00F46E8A">
        <w:rPr>
          <w:rFonts w:eastAsia="Times New Roman"/>
        </w:rPr>
        <w:t>6.3 Post-Market Surveillance Limitations</w:t>
      </w:r>
    </w:p>
    <w:p w14:paraId="7A4DF7FB"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The relatively light regulatory burden for dental devices extends to post-market surveillance, with important competitive implications:</w:t>
      </w:r>
    </w:p>
    <w:p w14:paraId="1C2F62BB"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Limited Performance Monitoring</w:t>
      </w:r>
      <w:r w:rsidRPr="00F46E8A">
        <w:rPr>
          <w:rFonts w:eastAsia="Times New Roman" w:cs="Times New Roman"/>
          <w:color w:val="auto"/>
          <w:kern w:val="0"/>
          <w14:ligatures w14:val="none"/>
        </w:rPr>
        <w:t xml:space="preserve">: Unlike pharmaceutical adverse event reporting systems, device performance problems may not be systematically captured, creating information gaps about real-world outcomes. This limited surveillance may advantage manufacturers whose products perform poorly in </w:t>
      </w:r>
      <w:r w:rsidRPr="00F46E8A">
        <w:rPr>
          <w:rFonts w:eastAsia="Times New Roman" w:cs="Times New Roman"/>
          <w:color w:val="auto"/>
          <w:kern w:val="0"/>
          <w14:ligatures w14:val="none"/>
        </w:rPr>
        <w:lastRenderedPageBreak/>
        <w:t>practice but avoid scrutiny due to inadequate monitoring systems. Conversely, manufacturers investing in quality and long-term performance may not receive competitive benefits from superior outcomes if performance differences remain undocumented (Buser et al., 2017).</w:t>
      </w:r>
    </w:p>
    <w:p w14:paraId="60EB4DDD"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Registry Absence</w:t>
      </w:r>
      <w:r w:rsidRPr="00F46E8A">
        <w:rPr>
          <w:rFonts w:eastAsia="Times New Roman" w:cs="Times New Roman"/>
          <w:color w:val="auto"/>
          <w:kern w:val="0"/>
          <w14:ligatures w14:val="none"/>
        </w:rPr>
        <w:t>: Comprehensive implant registries tracking placement and outcomes would enable systematic performance comparison across manufacturers. However, fragmented dental practice structure and limited regulatory requirements mean such registries remain absent or incomplete in most jurisdictions. This registry gap prevents market mechanisms from rewarding superior performance or penalizing poor outcomes, reducing incentives for quality investment beyond minimum regulatory requirements.</w:t>
      </w:r>
    </w:p>
    <w:p w14:paraId="3E16FE63"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Recall and Liability</w:t>
      </w:r>
      <w:r w:rsidRPr="00F46E8A">
        <w:rPr>
          <w:rFonts w:eastAsia="Times New Roman" w:cs="Times New Roman"/>
          <w:color w:val="auto"/>
          <w:kern w:val="0"/>
          <w14:ligatures w14:val="none"/>
        </w:rPr>
        <w:t>: While egregious device failures may trigger recalls or liability claims, the threshold for regulatory action remains high. Manufacturers producing devices with modestly inferior performance—higher failure rates within still-acceptable ranges, for example—face limited competitive penalties if performance problems remain inadequately documented. This creates moral hazard where manufacturers may underinvest in quality assurance knowing that modest performance problems are unlikely to trigger meaningful consequences.</w:t>
      </w:r>
    </w:p>
    <w:p w14:paraId="1329F369" w14:textId="77777777" w:rsidR="00F4266F" w:rsidRPr="00F46E8A" w:rsidRDefault="00F4266F" w:rsidP="00F4266F">
      <w:pPr>
        <w:spacing w:after="0"/>
        <w:ind w:left="0" w:firstLine="0"/>
        <w:jc w:val="left"/>
        <w:rPr>
          <w:rFonts w:eastAsia="Times New Roman" w:cs="Times New Roman"/>
          <w:color w:val="auto"/>
          <w:kern w:val="0"/>
          <w14:ligatures w14:val="none"/>
        </w:rPr>
      </w:pPr>
    </w:p>
    <w:p w14:paraId="4B6BB5A5" w14:textId="77777777" w:rsidR="00F4266F" w:rsidRPr="00F46E8A" w:rsidRDefault="00F4266F" w:rsidP="0084131F">
      <w:pPr>
        <w:pStyle w:val="GAIA1stlevel"/>
        <w:rPr>
          <w:rFonts w:eastAsia="Times New Roman"/>
        </w:rPr>
      </w:pPr>
      <w:r w:rsidRPr="00F46E8A">
        <w:rPr>
          <w:rFonts w:eastAsia="Times New Roman"/>
        </w:rPr>
        <w:t>7. Global Market Expansion and Competitive Strategies</w:t>
      </w:r>
    </w:p>
    <w:p w14:paraId="7E24651C" w14:textId="77777777" w:rsidR="00F4266F" w:rsidRPr="00F46E8A" w:rsidRDefault="00F4266F" w:rsidP="0084131F">
      <w:pPr>
        <w:pStyle w:val="GAIA2ndlevel"/>
        <w:rPr>
          <w:rFonts w:eastAsia="Times New Roman"/>
        </w:rPr>
      </w:pPr>
      <w:r w:rsidRPr="00F46E8A">
        <w:rPr>
          <w:rFonts w:eastAsia="Times New Roman"/>
        </w:rPr>
        <w:t>7.1 Emerging Market Strategies</w:t>
      </w:r>
    </w:p>
    <w:p w14:paraId="5547F222"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Dental implant manufacturers increasingly pursue growth through emerging market expansion, particularly in rapidly growing Asian and Latin American economies:</w:t>
      </w:r>
    </w:p>
    <w:p w14:paraId="4420F212"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Market Development Investments</w:t>
      </w:r>
      <w:r w:rsidRPr="00F46E8A">
        <w:rPr>
          <w:rFonts w:eastAsia="Times New Roman" w:cs="Times New Roman"/>
          <w:color w:val="auto"/>
          <w:kern w:val="0"/>
          <w14:ligatures w14:val="none"/>
        </w:rPr>
        <w:t xml:space="preserve">: Manufacturers invest in professional education, training facilities, and relationship cultivation in emerging markets, seeking to establish early presence before markets mature and competition intensifies. These investments create first-mover advantages as practitioners trained </w:t>
      </w:r>
      <w:proofErr w:type="gramStart"/>
      <w:r w:rsidRPr="00F46E8A">
        <w:rPr>
          <w:rFonts w:eastAsia="Times New Roman" w:cs="Times New Roman"/>
          <w:color w:val="auto"/>
          <w:kern w:val="0"/>
          <w14:ligatures w14:val="none"/>
        </w:rPr>
        <w:t>in particular systems</w:t>
      </w:r>
      <w:proofErr w:type="gramEnd"/>
      <w:r w:rsidRPr="00F46E8A">
        <w:rPr>
          <w:rFonts w:eastAsia="Times New Roman" w:cs="Times New Roman"/>
          <w:color w:val="auto"/>
          <w:kern w:val="0"/>
          <w14:ligatures w14:val="none"/>
        </w:rPr>
        <w:t xml:space="preserve"> develop loyalty and patients become familiar with specific brands.</w:t>
      </w:r>
    </w:p>
    <w:p w14:paraId="3EF36FB6"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Tiered Product Strategies</w:t>
      </w:r>
      <w:r w:rsidRPr="00F46E8A">
        <w:rPr>
          <w:rFonts w:eastAsia="Times New Roman" w:cs="Times New Roman"/>
          <w:color w:val="auto"/>
          <w:kern w:val="0"/>
          <w14:ligatures w14:val="none"/>
        </w:rPr>
        <w:t>: Some manufacturers develop product tiers targeting different market segments—premium products for affluent populations and lower-priced alternatives for price-sensitive markets. This tiered strategy enables manufacturers to serve diverse market segments while maintaining premium positioning in developed markets. However, concerns exist about whether lower-priced products involve quality compromises or whether premium pricing in developed markets represents excessive mark-ups (Garla, 2014).</w:t>
      </w:r>
    </w:p>
    <w:p w14:paraId="1C11646C"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Local Manufacturing Partnerships</w:t>
      </w:r>
      <w:r w:rsidRPr="00F46E8A">
        <w:rPr>
          <w:rFonts w:eastAsia="Times New Roman" w:cs="Times New Roman"/>
          <w:color w:val="auto"/>
          <w:kern w:val="0"/>
          <w14:ligatures w14:val="none"/>
        </w:rPr>
        <w:t>: To address cost constraints in emerging markets, some manufacturers establish local manufacturing through partnerships or subsidiaries. Local production reduces costs through lower labor expenses and avoids import duties, while enabling pricing strategies adapted to local economic conditions. However, quality concerns arise if manufacturing standards differ across facilities.</w:t>
      </w:r>
    </w:p>
    <w:p w14:paraId="62464BC3"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Regulatory Adaptation</w:t>
      </w:r>
      <w:r w:rsidRPr="00F46E8A">
        <w:rPr>
          <w:rFonts w:eastAsia="Times New Roman" w:cs="Times New Roman"/>
          <w:color w:val="auto"/>
          <w:kern w:val="0"/>
          <w14:ligatures w14:val="none"/>
        </w:rPr>
        <w:t xml:space="preserve">: Manufacturers navigate diverse regulatory environments across countries, adapting strategies to varying approval requirements, quality standards, and enforcement mechanisms. </w:t>
      </w:r>
      <w:r w:rsidRPr="00F46E8A">
        <w:rPr>
          <w:rFonts w:eastAsia="Times New Roman" w:cs="Times New Roman"/>
          <w:color w:val="auto"/>
          <w:kern w:val="0"/>
          <w14:ligatures w14:val="none"/>
        </w:rPr>
        <w:lastRenderedPageBreak/>
        <w:t>Experienced multinationals' advantages in regulatory navigation reinforce industry concentration, as smaller manufacturers struggle to achieve approvals across multiple jurisdictions.</w:t>
      </w:r>
    </w:p>
    <w:p w14:paraId="3DD57173" w14:textId="77777777" w:rsidR="00F4266F" w:rsidRPr="00F46E8A" w:rsidRDefault="00F4266F" w:rsidP="0084131F">
      <w:pPr>
        <w:pStyle w:val="GAIA2ndlevel"/>
        <w:rPr>
          <w:rFonts w:eastAsia="Times New Roman"/>
        </w:rPr>
      </w:pPr>
      <w:r w:rsidRPr="00F46E8A">
        <w:rPr>
          <w:rFonts w:eastAsia="Times New Roman"/>
        </w:rPr>
        <w:t>7.2 Competitive Dynamics in Developing Markets</w:t>
      </w:r>
    </w:p>
    <w:p w14:paraId="406E1B0D" w14:textId="77777777" w:rsidR="00F4266F" w:rsidRPr="00F46E8A" w:rsidRDefault="00F4266F" w:rsidP="00F4266F">
      <w:pPr>
        <w:spacing w:before="100" w:beforeAutospacing="1" w:after="100" w:afterAutospacing="1"/>
        <w:ind w:left="0" w:firstLine="0"/>
        <w:jc w:val="left"/>
        <w:rPr>
          <w:rFonts w:eastAsia="Times New Roman" w:cs="Times New Roman"/>
          <w:color w:val="auto"/>
          <w:kern w:val="0"/>
          <w14:ligatures w14:val="none"/>
        </w:rPr>
      </w:pPr>
      <w:r w:rsidRPr="00F46E8A">
        <w:rPr>
          <w:rFonts w:eastAsia="Times New Roman" w:cs="Times New Roman"/>
          <w:color w:val="auto"/>
          <w:kern w:val="0"/>
          <w14:ligatures w14:val="none"/>
        </w:rPr>
        <w:t>Emerging markets exhibit different competitive dynamics than developed markets:</w:t>
      </w:r>
    </w:p>
    <w:p w14:paraId="5B108622"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Local Manufacturer Competition</w:t>
      </w:r>
      <w:r w:rsidRPr="00F46E8A">
        <w:rPr>
          <w:rFonts w:eastAsia="Times New Roman" w:cs="Times New Roman"/>
          <w:color w:val="auto"/>
          <w:kern w:val="0"/>
          <w14:ligatures w14:val="none"/>
        </w:rPr>
        <w:t>: Local manufacturers in countries like China, India, and Brazil produce lower-priced implants competing with multinational brands. These local competitors leverage cost advantages, familiarity with local professional networks, and adaptation to local economic conditions. While multinational manufacturers often dismiss local competitors as inferior quality, some local manufacturers have achieved quality levels approaching multinational products while maintaining substantial price advantages (Garla, 2014).</w:t>
      </w:r>
    </w:p>
    <w:p w14:paraId="23F699F9"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Intellectual Property Challenges</w:t>
      </w:r>
      <w:r w:rsidRPr="00F46E8A">
        <w:rPr>
          <w:rFonts w:eastAsia="Times New Roman" w:cs="Times New Roman"/>
          <w:color w:val="auto"/>
          <w:kern w:val="0"/>
          <w14:ligatures w14:val="none"/>
        </w:rPr>
        <w:t xml:space="preserve">: Weaker intellectual property protection in some developing countries enables local manufacturers to produce products </w:t>
      </w:r>
      <w:proofErr w:type="gramStart"/>
      <w:r w:rsidRPr="00F46E8A">
        <w:rPr>
          <w:rFonts w:eastAsia="Times New Roman" w:cs="Times New Roman"/>
          <w:color w:val="auto"/>
          <w:kern w:val="0"/>
          <w14:ligatures w14:val="none"/>
        </w:rPr>
        <w:t>similar to</w:t>
      </w:r>
      <w:proofErr w:type="gramEnd"/>
      <w:r w:rsidRPr="00F46E8A">
        <w:rPr>
          <w:rFonts w:eastAsia="Times New Roman" w:cs="Times New Roman"/>
          <w:color w:val="auto"/>
          <w:kern w:val="0"/>
          <w14:ligatures w14:val="none"/>
        </w:rPr>
        <w:t xml:space="preserve"> multinational designs without licensing or royalty payments. This creates competitive challenges for multinationals whose business models depend on IP protection, while potentially improving access for price-sensitive populations. The tensions between IP protection for innovation incentives and access imperatives prove particularly acute in developing country contexts.</w:t>
      </w:r>
    </w:p>
    <w:p w14:paraId="467DB435"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Medical Tourism Implications</w:t>
      </w:r>
      <w:r w:rsidRPr="00F46E8A">
        <w:rPr>
          <w:rFonts w:eastAsia="Times New Roman" w:cs="Times New Roman"/>
          <w:color w:val="auto"/>
          <w:kern w:val="0"/>
          <w14:ligatures w14:val="none"/>
        </w:rPr>
        <w:t>: International price variations create opportunities for medical tourism, with patients traveling to lower-cost countries for implant treatment. This phenomenon creates competitive pressures on high-cost markets while raising quality and safety concerns about treatments in less regulated environments. Medical tourism's growth may eventually pressure convergence in pricing across markets or create more explicit quality-price tiers in global implant markets.</w:t>
      </w:r>
    </w:p>
    <w:p w14:paraId="5F772B6B" w14:textId="77777777" w:rsidR="00F4266F" w:rsidRPr="00F46E8A" w:rsidRDefault="00F4266F" w:rsidP="00F4266F">
      <w:pPr>
        <w:spacing w:after="0"/>
        <w:ind w:left="0" w:firstLine="0"/>
        <w:jc w:val="left"/>
        <w:rPr>
          <w:rFonts w:eastAsia="Times New Roman" w:cs="Times New Roman"/>
          <w:color w:val="auto"/>
          <w:kern w:val="0"/>
          <w14:ligatures w14:val="none"/>
        </w:rPr>
      </w:pPr>
    </w:p>
    <w:p w14:paraId="79C9A3B9" w14:textId="77777777" w:rsidR="00F4266F" w:rsidRPr="00F46E8A" w:rsidRDefault="00F4266F" w:rsidP="0084131F">
      <w:pPr>
        <w:pStyle w:val="GAIA1stlevel"/>
        <w:rPr>
          <w:rFonts w:eastAsia="Times New Roman"/>
        </w:rPr>
      </w:pPr>
      <w:r w:rsidRPr="00F46E8A">
        <w:rPr>
          <w:rFonts w:eastAsia="Times New Roman"/>
        </w:rPr>
        <w:t>8. Industry Influence Over Knowledge Production</w:t>
      </w:r>
    </w:p>
    <w:p w14:paraId="479AFA13" w14:textId="77777777" w:rsidR="00F4266F" w:rsidRPr="00F46E8A" w:rsidRDefault="00F4266F" w:rsidP="0084131F">
      <w:pPr>
        <w:pStyle w:val="GAIA2ndlevel"/>
        <w:rPr>
          <w:rFonts w:eastAsia="Times New Roman"/>
        </w:rPr>
      </w:pPr>
      <w:r w:rsidRPr="00F46E8A">
        <w:rPr>
          <w:rFonts w:eastAsia="Times New Roman"/>
        </w:rPr>
        <w:t>8.1 Research Funding and Potential Bias</w:t>
      </w:r>
    </w:p>
    <w:p w14:paraId="1F788D23"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The "substantial role of industry funding in dental research creates potential conflicts of interest that may bias assessment toward positive evaluation of new technologies" (Heft et al., 2020). This influence over knowledge production operates through multiple mechanisms:</w:t>
      </w:r>
    </w:p>
    <w:p w14:paraId="6ECB3035"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Selective Funding</w:t>
      </w:r>
      <w:r w:rsidRPr="00F46E8A">
        <w:rPr>
          <w:rFonts w:eastAsia="Times New Roman" w:cs="Times New Roman"/>
          <w:color w:val="auto"/>
          <w:kern w:val="0"/>
          <w14:ligatures w14:val="none"/>
        </w:rPr>
        <w:t>: Manufacturers fund research examining their products' effectiveness but rarely support comparative studies potentially demonstrating competitor superiority or lower-cost alternative equivalence. This selective funding shapes evidence bases, creating publication bias toward manufacturer-favored findings while evidence for alternatives remains limited.</w:t>
      </w:r>
    </w:p>
    <w:p w14:paraId="04055FD0"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Protocol Design Influence</w:t>
      </w:r>
      <w:r w:rsidRPr="00F46E8A">
        <w:rPr>
          <w:rFonts w:eastAsia="Times New Roman" w:cs="Times New Roman"/>
          <w:color w:val="auto"/>
          <w:kern w:val="0"/>
          <w14:ligatures w14:val="none"/>
        </w:rPr>
        <w:t>: Industry-sponsored research may employ designs favoring sponsor products—using outcome measures where products excel, selecting comparison groups making products appear superior, or employing analysis methods biased toward positive findings. While overt manipulation remains uncommon, subtle design choices influenced by sponsor interests can significantly affect conclusions.</w:t>
      </w:r>
    </w:p>
    <w:p w14:paraId="5D395A18"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lastRenderedPageBreak/>
        <w:t>Publication Control</w:t>
      </w:r>
      <w:r w:rsidRPr="00F46E8A">
        <w:rPr>
          <w:rFonts w:eastAsia="Times New Roman" w:cs="Times New Roman"/>
          <w:color w:val="auto"/>
          <w:kern w:val="0"/>
          <w14:ligatures w14:val="none"/>
        </w:rPr>
        <w:t>: Manufacturer-researcher contracts sometimes include provisions enabling manufacturers to delay or prevent publication of unfavorable findings. While academic institutions increasingly prohibit such contractual restrictions, their historical prevalence means published research may not represent complete evidence about product performance, with negative findings remaining proprietary or unpublished.</w:t>
      </w:r>
    </w:p>
    <w:p w14:paraId="7C423903"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Authorship and Ghostwriting</w:t>
      </w:r>
      <w:r w:rsidRPr="00F46E8A">
        <w:rPr>
          <w:rFonts w:eastAsia="Times New Roman" w:cs="Times New Roman"/>
          <w:color w:val="auto"/>
          <w:kern w:val="0"/>
          <w14:ligatures w14:val="none"/>
        </w:rPr>
        <w:t>: Concerns exist about manufacturer involvement in manuscript preparation for ostensibly academic publications, with ghostwriters employed by manufacturers drafting manuscripts subsequently authored by academic researchers. While disclosure requirements have improved, the potential for manufacturer influence over published literature remains concerning.</w:t>
      </w:r>
    </w:p>
    <w:p w14:paraId="13921051" w14:textId="77777777" w:rsidR="00F4266F" w:rsidRPr="00F46E8A" w:rsidRDefault="00F4266F" w:rsidP="0084131F">
      <w:pPr>
        <w:pStyle w:val="GAIA2ndlevel"/>
        <w:rPr>
          <w:rFonts w:eastAsia="Times New Roman"/>
        </w:rPr>
      </w:pPr>
      <w:r w:rsidRPr="00F46E8A">
        <w:rPr>
          <w:rFonts w:eastAsia="Times New Roman"/>
        </w:rPr>
        <w:t>8.2 Continuing Education and Opinion Leader Development</w:t>
      </w:r>
    </w:p>
    <w:p w14:paraId="6588C060"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Manufacturer influence extends beyond formal research into professional education and opinion leadership:</w:t>
      </w:r>
    </w:p>
    <w:p w14:paraId="4A49119E"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CME Sponsorship</w:t>
      </w:r>
      <w:r w:rsidRPr="00F46E8A">
        <w:rPr>
          <w:rFonts w:eastAsia="Times New Roman" w:cs="Times New Roman"/>
          <w:color w:val="auto"/>
          <w:kern w:val="0"/>
          <w14:ligatures w14:val="none"/>
        </w:rPr>
        <w:t>: "Manufacturers fund substantial portions of continuing education programming," creating situations where educational content may emphasize techniques and technologies favoring sponsoring manufacturers (Heft et al., 2020). While continuing medical education (CME) regulations require disclosure of financial relationships and content independence, the integration of education and marketing complicates practitioners' ability to distinguish unbiased guidance from commercially motivated recommendations.</w:t>
      </w:r>
    </w:p>
    <w:p w14:paraId="7035C611"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Speaker Development</w:t>
      </w:r>
      <w:r w:rsidRPr="00F46E8A">
        <w:rPr>
          <w:rFonts w:eastAsia="Times New Roman" w:cs="Times New Roman"/>
          <w:color w:val="auto"/>
          <w:kern w:val="0"/>
          <w14:ligatures w14:val="none"/>
        </w:rPr>
        <w:t>: Manufacturers recruit influential clinicians as speakers, providing presentation support, honoraria, and travel funding. These speakers then deliver educational content at conferences and courses, shaping professional discourse while maintaining financial relationships with manufacturers. The speakers may genuinely believe in presented content's validity, but financial relationships create potential conscious or unconscious bias toward sponsors.</w:t>
      </w:r>
    </w:p>
    <w:p w14:paraId="59FC7B0D"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Thought Leader Cultivation</w:t>
      </w:r>
      <w:r w:rsidRPr="00F46E8A">
        <w:rPr>
          <w:rFonts w:eastAsia="Times New Roman" w:cs="Times New Roman"/>
          <w:color w:val="auto"/>
          <w:kern w:val="0"/>
          <w14:ligatures w14:val="none"/>
        </w:rPr>
        <w:t>: Beyond individual speaker relationships, manufacturers cultivate broader "key opinion leader" networks, providing research funding, consulting arrangements, and advisory board positions to influential academics and clinicians. These relationships serve multiple functions: providing manufacturers with clinical expertise and market intelligence, creating advocates for manufacturer products, and shaping professional discourse through opinion leaders' publications and presentations (Buser et al., 2017).</w:t>
      </w:r>
    </w:p>
    <w:p w14:paraId="46098BBF" w14:textId="77777777" w:rsidR="00F4266F" w:rsidRPr="00F46E8A" w:rsidRDefault="00F4266F" w:rsidP="0084131F">
      <w:pPr>
        <w:pStyle w:val="GAIA2ndlevel"/>
        <w:rPr>
          <w:rFonts w:eastAsia="Times New Roman"/>
        </w:rPr>
      </w:pPr>
      <w:r w:rsidRPr="00F46E8A">
        <w:rPr>
          <w:rFonts w:eastAsia="Times New Roman"/>
        </w:rPr>
        <w:t>8.3 Implications for Evidence-Based Practice</w:t>
      </w:r>
    </w:p>
    <w:p w14:paraId="7742F90C"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Industry influence over knowledge production creates challenges for evidence-based practice ideals:</w:t>
      </w:r>
    </w:p>
    <w:p w14:paraId="5F593951"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Evidence Base Reliability</w:t>
      </w:r>
      <w:r w:rsidRPr="00F46E8A">
        <w:rPr>
          <w:rFonts w:eastAsia="Times New Roman" w:cs="Times New Roman"/>
          <w:color w:val="auto"/>
          <w:kern w:val="0"/>
          <w14:ligatures w14:val="none"/>
        </w:rPr>
        <w:t>: If substantial portions of published research involve manufacturer funding and potential bias, the reliability of evidence bases supporting clinical guidelines and treatment recommendations comes into question. Systematic reviews and meta-analyses aggregating industry-sponsored studies may reach biased conclusions if underlying research exhibits conflicts.</w:t>
      </w:r>
    </w:p>
    <w:p w14:paraId="7CF8D148"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lastRenderedPageBreak/>
        <w:t>Professional Guidance Independence</w:t>
      </w:r>
      <w:r w:rsidRPr="00F46E8A">
        <w:rPr>
          <w:rFonts w:eastAsia="Times New Roman" w:cs="Times New Roman"/>
          <w:color w:val="auto"/>
          <w:kern w:val="0"/>
          <w14:ligatures w14:val="none"/>
        </w:rPr>
        <w:t>: Clinical guidelines developed by professional organizations receiving manufacturer funding may not represent purely evidence-based recommendations if financial relationships influence guideline committee deliberations. While conflict-of-interest policies have strengthened, the question of whether meaningful independence exists when organizations depend substantially on manufacturer support remains concerning.</w:t>
      </w:r>
    </w:p>
    <w:p w14:paraId="7081B6D5"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Practitioner Judgment</w:t>
      </w:r>
      <w:r w:rsidRPr="00F46E8A">
        <w:rPr>
          <w:rFonts w:eastAsia="Times New Roman" w:cs="Times New Roman"/>
          <w:color w:val="auto"/>
          <w:kern w:val="0"/>
          <w14:ligatures w14:val="none"/>
        </w:rPr>
        <w:t>: Individual practitioners attempting to practice evidence-based dentistry face challenges in evaluating evidence reliability and distinguishing commercially motivated claims from genuinely superior performance. The integration of marketing and education means practitioners receive mixed messages where commercial interests and clinical evidence prove difficult to disentangle.</w:t>
      </w:r>
    </w:p>
    <w:p w14:paraId="3B4FF700" w14:textId="77777777" w:rsidR="00F4266F" w:rsidRPr="00F46E8A" w:rsidRDefault="00F4266F" w:rsidP="00F4266F">
      <w:pPr>
        <w:spacing w:after="0"/>
        <w:ind w:left="0" w:firstLine="0"/>
        <w:jc w:val="left"/>
        <w:rPr>
          <w:rFonts w:eastAsia="Times New Roman" w:cs="Times New Roman"/>
          <w:color w:val="auto"/>
          <w:kern w:val="0"/>
          <w14:ligatures w14:val="none"/>
        </w:rPr>
      </w:pPr>
    </w:p>
    <w:p w14:paraId="05C38AF4" w14:textId="77777777" w:rsidR="00F4266F" w:rsidRPr="00F46E8A" w:rsidRDefault="00F4266F" w:rsidP="0084131F">
      <w:pPr>
        <w:pStyle w:val="GAIA1stlevel"/>
        <w:rPr>
          <w:rFonts w:eastAsia="Times New Roman"/>
        </w:rPr>
      </w:pPr>
      <w:r w:rsidRPr="00F46E8A">
        <w:rPr>
          <w:rFonts w:eastAsia="Times New Roman"/>
        </w:rPr>
        <w:t>9. Conclusion: Industry Structure and Healthcare Outcomes</w:t>
      </w:r>
    </w:p>
    <w:p w14:paraId="39B65ED9" w14:textId="77777777" w:rsidR="00F4266F" w:rsidRPr="00F46E8A" w:rsidRDefault="00F4266F" w:rsidP="0084131F">
      <w:pPr>
        <w:pStyle w:val="GAIA2ndlevel"/>
        <w:rPr>
          <w:rFonts w:eastAsia="Times New Roman"/>
        </w:rPr>
      </w:pPr>
      <w:r w:rsidRPr="00F46E8A">
        <w:rPr>
          <w:rFonts w:eastAsia="Times New Roman"/>
        </w:rPr>
        <w:t>9.1 Key Findings Summary</w:t>
      </w:r>
    </w:p>
    <w:p w14:paraId="24618B1E"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This analysis of medical device industry dynamics using dental implants as case study reveals several critical patterns:</w:t>
      </w:r>
    </w:p>
    <w:p w14:paraId="4D22C109"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Concentrated Market Structure</w:t>
      </w:r>
      <w:r w:rsidRPr="00F46E8A">
        <w:rPr>
          <w:rFonts w:eastAsia="Times New Roman" w:cs="Times New Roman"/>
          <w:color w:val="auto"/>
          <w:kern w:val="0"/>
          <w14:ligatures w14:val="none"/>
        </w:rPr>
        <w:t>: The dental implant industry exhibits substantial concentration, with major manufacturers controlling majority market shares through acquisition-driven growth strategies rather than purely internal innovation. The entrepreneurial innovation-corporate acquisition model, where "the development of new medical devices generally takes place in small, entrepreneurial companies" subsequently acquired by larger corporations, has produced industry consolidation with implications for pricing, innovation, and competition (</w:t>
      </w:r>
      <w:proofErr w:type="spellStart"/>
      <w:r w:rsidRPr="00F46E8A">
        <w:rPr>
          <w:rFonts w:eastAsia="Times New Roman" w:cs="Times New Roman"/>
          <w:color w:val="auto"/>
          <w:kern w:val="0"/>
          <w14:ligatures w14:val="none"/>
        </w:rPr>
        <w:t>Gelijns</w:t>
      </w:r>
      <w:proofErr w:type="spellEnd"/>
      <w:r w:rsidRPr="00F46E8A">
        <w:rPr>
          <w:rFonts w:eastAsia="Times New Roman" w:cs="Times New Roman"/>
          <w:color w:val="auto"/>
          <w:kern w:val="0"/>
          <w14:ligatures w14:val="none"/>
        </w:rPr>
        <w:t xml:space="preserve"> &amp; Halm, 1991).</w:t>
      </w:r>
    </w:p>
    <w:p w14:paraId="49544684"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Multidimensional Competition</w:t>
      </w:r>
      <w:r w:rsidRPr="00F46E8A">
        <w:rPr>
          <w:rFonts w:eastAsia="Times New Roman" w:cs="Times New Roman"/>
          <w:color w:val="auto"/>
          <w:kern w:val="0"/>
          <w14:ligatures w14:val="none"/>
        </w:rPr>
        <w:t>: Medical device manufacturers compete through technological differentiation, marketing and brand development, practitioner relationship cultivation, and intellectual property protection rather than primarily price competition. This multidimensional rivalry creates competitive dynamics fundamentally different from commodity markets, with implications for how markets function and what outcomes emerge.</w:t>
      </w:r>
    </w:p>
    <w:p w14:paraId="41222466"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Asymmetric Power Relationships</w:t>
      </w:r>
      <w:r w:rsidRPr="00F46E8A">
        <w:rPr>
          <w:rFonts w:eastAsia="Times New Roman" w:cs="Times New Roman"/>
          <w:color w:val="auto"/>
          <w:kern w:val="0"/>
          <w14:ligatures w14:val="none"/>
        </w:rPr>
        <w:t>: Concentrated manufacturers negotiating with fragmented providers creates power asymmetries enabling manufacturers to dictate pricing and terms. These power imbalances affect not only commercial transactions but also manufacturer influence over professional education, clinical guidelines, and research priorities, raising concerns about whether industry interests align with patient welfare and public health priorities.</w:t>
      </w:r>
    </w:p>
    <w:p w14:paraId="55DB2CDA"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Innovation Trajectory Effects</w:t>
      </w:r>
      <w:r w:rsidRPr="00F46E8A">
        <w:rPr>
          <w:rFonts w:eastAsia="Times New Roman" w:cs="Times New Roman"/>
          <w:color w:val="auto"/>
          <w:kern w:val="0"/>
          <w14:ligatures w14:val="none"/>
        </w:rPr>
        <w:t>: Market structure shapes innovation directions, with concentration favoring incremental improvements over transformative innovations, and profitability considerations determining which clinical problems receive research attention. The concentration of innovation in profitable market segments (restorative, aesthetic) while less profitable needs (prevention, public health, underserved populations) receive limited attention reflects rational profit-maximization but produces socially suboptimal research priorities.</w:t>
      </w:r>
    </w:p>
    <w:p w14:paraId="54549231"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lastRenderedPageBreak/>
        <w:t>Regulatory Framework Influences</w:t>
      </w:r>
      <w:r w:rsidRPr="00F46E8A">
        <w:rPr>
          <w:rFonts w:eastAsia="Times New Roman" w:cs="Times New Roman"/>
          <w:color w:val="auto"/>
          <w:kern w:val="0"/>
          <w14:ligatures w14:val="none"/>
        </w:rPr>
        <w:t>: The 510(k) substantial equivalence pathway facilitates rapid market entry while creating limited incentives for rigorous clinical evidence generation. This regulatory structure enables the entrepreneurial innovation model while potentially allowing inadequately tested technologies to reach markets, with limited post-market surveillance compounding evidence gaps about real-world device performance.</w:t>
      </w:r>
    </w:p>
    <w:p w14:paraId="4B794A53" w14:textId="77777777" w:rsidR="00F4266F" w:rsidRPr="00F46E8A" w:rsidRDefault="00F4266F" w:rsidP="0084131F">
      <w:pPr>
        <w:pStyle w:val="GAIA2ndlevel"/>
        <w:rPr>
          <w:rFonts w:eastAsia="Times New Roman"/>
        </w:rPr>
      </w:pPr>
      <w:r w:rsidRPr="00F46E8A">
        <w:rPr>
          <w:rFonts w:eastAsia="Times New Roman"/>
        </w:rPr>
        <w:t>9.2 Implications for Policy and Practice</w:t>
      </w:r>
    </w:p>
    <w:p w14:paraId="07253AE8" w14:textId="77777777" w:rsidR="00F4266F" w:rsidRPr="00F46E8A" w:rsidRDefault="00F4266F" w:rsidP="00F4266F">
      <w:pPr>
        <w:spacing w:before="100" w:beforeAutospacing="1" w:after="100" w:afterAutospacing="1"/>
        <w:ind w:left="0" w:firstLine="0"/>
        <w:jc w:val="left"/>
        <w:rPr>
          <w:rFonts w:eastAsia="Times New Roman" w:cs="Times New Roman"/>
          <w:color w:val="auto"/>
          <w:kern w:val="0"/>
          <w14:ligatures w14:val="none"/>
        </w:rPr>
      </w:pPr>
      <w:r w:rsidRPr="00F46E8A">
        <w:rPr>
          <w:rFonts w:eastAsia="Times New Roman" w:cs="Times New Roman"/>
          <w:color w:val="auto"/>
          <w:kern w:val="0"/>
          <w14:ligatures w14:val="none"/>
        </w:rPr>
        <w:t>Several policy implications emerge from this analysis:</w:t>
      </w:r>
    </w:p>
    <w:p w14:paraId="3A518736"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Antitrust Scrutiny</w:t>
      </w:r>
      <w:r w:rsidRPr="00F46E8A">
        <w:rPr>
          <w:rFonts w:eastAsia="Times New Roman" w:cs="Times New Roman"/>
          <w:color w:val="auto"/>
          <w:kern w:val="0"/>
          <w14:ligatures w14:val="none"/>
        </w:rPr>
        <w:t>: Market concentration enabling manufacturer pricing power and innovation direction control warrants enhanced antitrust scrutiny of mergers and acquisitions. While manufacturing scale economies and distribution efficiencies provide legitimate justifications for consolidation, concentration enabling anticompetitive practices requires regulatory attention. Competition authorities should carefully evaluate proposed mergers' effects on pricing, innovation, and market competition beyond narrow market definition questions.</w:t>
      </w:r>
    </w:p>
    <w:p w14:paraId="64BCED8B"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Conflict-of-Interest Management</w:t>
      </w:r>
      <w:r w:rsidRPr="00F46E8A">
        <w:rPr>
          <w:rFonts w:eastAsia="Times New Roman" w:cs="Times New Roman"/>
          <w:color w:val="auto"/>
          <w:kern w:val="0"/>
          <w14:ligatures w14:val="none"/>
        </w:rPr>
        <w:t>: Stronger conflict-of-interest policies governing manufacturer relationships with researchers, educators, and guideline developers could reduce industry influence over knowledge production. Policies might include mandatory disclosure, funding transparency, limits on specific relationship types, and enhanced independence requirements for clinical guideline development (Heft et al., 2020).</w:t>
      </w:r>
    </w:p>
    <w:p w14:paraId="3EF1DFE9"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Evidence Generation Requirements</w:t>
      </w:r>
      <w:r w:rsidRPr="00F46E8A">
        <w:rPr>
          <w:rFonts w:eastAsia="Times New Roman" w:cs="Times New Roman"/>
          <w:color w:val="auto"/>
          <w:kern w:val="0"/>
          <w14:ligatures w14:val="none"/>
        </w:rPr>
        <w:t>: Reforming medical device regulation to require more extensive clinical evidence—through conditional approval requiring post-market studies, comprehensive registry requirements, or comparative effectiveness research mandates—could address persistent evidence gaps. However, such reforms must balance evidence needs against innovation speed and entrepreneur-friendly approval processes (</w:t>
      </w:r>
      <w:proofErr w:type="spellStart"/>
      <w:r w:rsidRPr="00F46E8A">
        <w:rPr>
          <w:rFonts w:eastAsia="Times New Roman" w:cs="Times New Roman"/>
          <w:color w:val="auto"/>
          <w:kern w:val="0"/>
          <w14:ligatures w14:val="none"/>
        </w:rPr>
        <w:t>Gelijns</w:t>
      </w:r>
      <w:proofErr w:type="spellEnd"/>
      <w:r w:rsidRPr="00F46E8A">
        <w:rPr>
          <w:rFonts w:eastAsia="Times New Roman" w:cs="Times New Roman"/>
          <w:color w:val="auto"/>
          <w:kern w:val="0"/>
          <w14:ligatures w14:val="none"/>
        </w:rPr>
        <w:t xml:space="preserve"> &amp; Halm, 1991).</w:t>
      </w:r>
    </w:p>
    <w:p w14:paraId="6027D57E"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International Regulatory Coordination</w:t>
      </w:r>
      <w:r w:rsidRPr="00F46E8A">
        <w:rPr>
          <w:rFonts w:eastAsia="Times New Roman" w:cs="Times New Roman"/>
          <w:color w:val="auto"/>
          <w:kern w:val="0"/>
          <w14:ligatures w14:val="none"/>
        </w:rPr>
        <w:t>: Harmonizing regulatory requirements across countries could reduce compliance burdens while preventing regulatory arbitrage. However, harmonization faces sovereignty concerns and questions about whose standards should prevail. Progressive harmonization through mutual recognition agreements or standardized core requirements might enable coordination benefits while preserving regulatory autonomy.</w:t>
      </w:r>
    </w:p>
    <w:p w14:paraId="73363988"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Market Transparency Initiatives</w:t>
      </w:r>
      <w:r w:rsidRPr="00F46E8A">
        <w:rPr>
          <w:rFonts w:eastAsia="Times New Roman" w:cs="Times New Roman"/>
          <w:color w:val="auto"/>
          <w:kern w:val="0"/>
          <w14:ligatures w14:val="none"/>
        </w:rPr>
        <w:t>: Enhancing pricing transparency through public disclosure requirements could reduce information asymmetries between manufacturers and providers, enabling more informed purchasing decisions. Additionally, performance transparency through registry data publication could enable market mechanisms to reward superior quality and penalize poor performance.</w:t>
      </w:r>
    </w:p>
    <w:p w14:paraId="024A12CB" w14:textId="77777777" w:rsidR="00F4266F" w:rsidRPr="00F46E8A" w:rsidRDefault="00F4266F" w:rsidP="0084131F">
      <w:pPr>
        <w:pStyle w:val="GAIA2ndlevel"/>
        <w:rPr>
          <w:rFonts w:eastAsia="Times New Roman"/>
        </w:rPr>
      </w:pPr>
      <w:r w:rsidRPr="00F46E8A">
        <w:rPr>
          <w:rFonts w:eastAsia="Times New Roman"/>
        </w:rPr>
        <w:t>9.3 Research Priorities</w:t>
      </w:r>
    </w:p>
    <w:p w14:paraId="6EBF96F0" w14:textId="77777777" w:rsidR="00F4266F" w:rsidRPr="00F46E8A" w:rsidRDefault="00F4266F" w:rsidP="00F4266F">
      <w:pPr>
        <w:spacing w:before="100" w:beforeAutospacing="1" w:after="100" w:afterAutospacing="1"/>
        <w:ind w:left="0" w:firstLine="0"/>
        <w:jc w:val="left"/>
        <w:rPr>
          <w:rFonts w:eastAsia="Times New Roman" w:cs="Times New Roman"/>
          <w:color w:val="auto"/>
          <w:kern w:val="0"/>
          <w14:ligatures w14:val="none"/>
        </w:rPr>
      </w:pPr>
      <w:r w:rsidRPr="00F46E8A">
        <w:rPr>
          <w:rFonts w:eastAsia="Times New Roman" w:cs="Times New Roman"/>
          <w:color w:val="auto"/>
          <w:kern w:val="0"/>
          <w14:ligatures w14:val="none"/>
        </w:rPr>
        <w:t>This analysis reveals several critical research needs:</w:t>
      </w:r>
    </w:p>
    <w:p w14:paraId="470E60F0"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lastRenderedPageBreak/>
        <w:t>Comprehensive Industry Analysis</w:t>
      </w:r>
      <w:r w:rsidRPr="00F46E8A">
        <w:rPr>
          <w:rFonts w:eastAsia="Times New Roman" w:cs="Times New Roman"/>
          <w:color w:val="auto"/>
          <w:kern w:val="0"/>
          <w14:ligatures w14:val="none"/>
        </w:rPr>
        <w:t>: Systematic documentation of industry structure, concentration trends, merger and acquisition patterns, competitive strategies, and profitability would enable better understanding of market dynamics. Such analysis should employ industrial organization economics frameworks while attending to healthcare market distinctive features (</w:t>
      </w:r>
      <w:proofErr w:type="spellStart"/>
      <w:r w:rsidRPr="00F46E8A">
        <w:rPr>
          <w:rFonts w:eastAsia="Times New Roman" w:cs="Times New Roman"/>
          <w:color w:val="auto"/>
          <w:kern w:val="0"/>
          <w14:ligatures w14:val="none"/>
        </w:rPr>
        <w:t>Chernew</w:t>
      </w:r>
      <w:proofErr w:type="spellEnd"/>
      <w:r w:rsidRPr="00F46E8A">
        <w:rPr>
          <w:rFonts w:eastAsia="Times New Roman" w:cs="Times New Roman"/>
          <w:color w:val="auto"/>
          <w:kern w:val="0"/>
          <w14:ligatures w14:val="none"/>
        </w:rPr>
        <w:t xml:space="preserve"> et al., 2021).</w:t>
      </w:r>
    </w:p>
    <w:p w14:paraId="0DA9A963"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Innovation Direction Studies</w:t>
      </w:r>
      <w:r w:rsidRPr="00F46E8A">
        <w:rPr>
          <w:rFonts w:eastAsia="Times New Roman" w:cs="Times New Roman"/>
          <w:color w:val="auto"/>
          <w:kern w:val="0"/>
          <w14:ligatures w14:val="none"/>
        </w:rPr>
        <w:t>: Research examining how industry structure affects innovation trajectories—which problems receive research attention, what types of innovations predominate, how profitability shapes research priorities—could illuminate whether market-driven innovation adequately serves public health needs or systematically underserves less profitable populations.</w:t>
      </w:r>
    </w:p>
    <w:p w14:paraId="40D3F868"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Conflict-of-Interest Impact Assessment</w:t>
      </w:r>
      <w:r w:rsidRPr="00F46E8A">
        <w:rPr>
          <w:rFonts w:eastAsia="Times New Roman" w:cs="Times New Roman"/>
          <w:color w:val="auto"/>
          <w:kern w:val="0"/>
          <w14:ligatures w14:val="none"/>
        </w:rPr>
        <w:t>: Studies evaluating how manufacturer relationships affect researcher conclusions, educator content, and guideline recommendations could quantify bias extent and identify effective management strategies. Natural experiments created by varying conflict-of-interest policies across institutions or jurisdictions provide opportunities for comparative analysis.</w:t>
      </w:r>
    </w:p>
    <w:p w14:paraId="1EED8586"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b/>
          <w:bCs/>
          <w:color w:val="auto"/>
          <w:kern w:val="0"/>
          <w14:ligatures w14:val="none"/>
        </w:rPr>
        <w:t>Regulatory Pathway Evaluation</w:t>
      </w:r>
      <w:r w:rsidRPr="00F46E8A">
        <w:rPr>
          <w:rFonts w:eastAsia="Times New Roman" w:cs="Times New Roman"/>
          <w:color w:val="auto"/>
          <w:kern w:val="0"/>
          <w14:ligatures w14:val="none"/>
        </w:rPr>
        <w:t>: Comparative effectiveness research examining outcomes for devices approved through different regulatory pathways—510(k) versus PMA, varying international requirements—could illuminate whether regulatory stringency affects device performance in practice, informing evidence requirement optimization.</w:t>
      </w:r>
    </w:p>
    <w:p w14:paraId="1928340F" w14:textId="77777777" w:rsidR="00F4266F" w:rsidRPr="00F46E8A" w:rsidRDefault="00F4266F" w:rsidP="0084131F">
      <w:pPr>
        <w:pStyle w:val="GAIA2ndlevel"/>
        <w:rPr>
          <w:rFonts w:eastAsia="Times New Roman"/>
        </w:rPr>
      </w:pPr>
      <w:r w:rsidRPr="00F46E8A">
        <w:rPr>
          <w:rFonts w:eastAsia="Times New Roman"/>
        </w:rPr>
        <w:t>9.4 Concluding Reflections</w:t>
      </w:r>
    </w:p>
    <w:p w14:paraId="3661D6C7"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Medical device industry structure profoundly affects healthcare outcomes through influences on which technologies get developed, how they're priced, and who can access them. The dental implant industry exemplifies broader patterns characterizing medical device markets: substantial concentration through acquisition-driven consolidation, multidimensional competition emphasizing differentiation over price, asymmetric power relationships enabling manufacturer influence over providers and professionals, and innovation trajectories shaped by profitability considerations alongside clinical needs.</w:t>
      </w:r>
    </w:p>
    <w:p w14:paraId="62795407"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Understanding these industry dynamics proves essential for evaluating technology development, assessing policy alternatives, and determining whether market-based innovation adequately serves population health objectives. While medical device markets generate genuine innovation and efficiency benefits, concentrated market structures with light regulation and limited transparency create concerning incentives and power relationships potentially misaligned with patient welfare.</w:t>
      </w:r>
    </w:p>
    <w:p w14:paraId="6399722C"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The challenge for policymakers and healthcare systems lies in harnessing market dynamism and innovation capabilities while addressing structural features producing suboptimal outcomes—excessive pricing through concentration, innovation gaps for less profitable needs, access barriers for disadvantaged populations, and industry influence over knowledge production. This requires moving beyond simple market-versus-government dichotomies toward sophisticated approaches balancing market incentives with appropriate regulation, transparency, and public oversight.</w:t>
      </w:r>
    </w:p>
    <w:p w14:paraId="10BDF5D4" w14:textId="77777777" w:rsidR="00F4266F" w:rsidRPr="00F46E8A" w:rsidRDefault="00F4266F" w:rsidP="0084131F">
      <w:pPr>
        <w:spacing w:before="100" w:beforeAutospacing="1" w:after="100" w:afterAutospacing="1"/>
        <w:ind w:left="0" w:firstLine="0"/>
        <w:rPr>
          <w:rFonts w:eastAsia="Times New Roman" w:cs="Times New Roman"/>
          <w:color w:val="auto"/>
          <w:kern w:val="0"/>
          <w14:ligatures w14:val="none"/>
        </w:rPr>
      </w:pPr>
      <w:r w:rsidRPr="00F46E8A">
        <w:rPr>
          <w:rFonts w:eastAsia="Times New Roman" w:cs="Times New Roman"/>
          <w:color w:val="auto"/>
          <w:kern w:val="0"/>
          <w14:ligatures w14:val="none"/>
        </w:rPr>
        <w:t xml:space="preserve">The future of medical device markets will be shaped by whether societies accept current industry structures as inevitable or pursue reforms addressing identified problems. The stakes prove high—medical technology fundamentally shapes modern healthcare delivery, and industry structure profoundly affects whether innovation benefits reach all populations or concentrate among those able </w:t>
      </w:r>
      <w:r w:rsidRPr="00F46E8A">
        <w:rPr>
          <w:rFonts w:eastAsia="Times New Roman" w:cs="Times New Roman"/>
          <w:color w:val="auto"/>
          <w:kern w:val="0"/>
          <w14:ligatures w14:val="none"/>
        </w:rPr>
        <w:lastRenderedPageBreak/>
        <w:t>to pay premium prices. Whether healthcare systems rise to challenges of governing medical device markets to serve broad public health objectives rather than narrow commercial interests remains an open and consequential question.</w:t>
      </w:r>
    </w:p>
    <w:p w14:paraId="628C7272" w14:textId="77777777" w:rsidR="00F4266F" w:rsidRPr="00F46E8A" w:rsidRDefault="00F4266F" w:rsidP="00F4266F">
      <w:pPr>
        <w:spacing w:after="0"/>
        <w:ind w:left="0" w:firstLine="0"/>
        <w:jc w:val="left"/>
        <w:rPr>
          <w:rFonts w:eastAsia="Times New Roman" w:cs="Times New Roman"/>
          <w:color w:val="auto"/>
          <w:kern w:val="0"/>
          <w14:ligatures w14:val="none"/>
        </w:rPr>
      </w:pPr>
    </w:p>
    <w:p w14:paraId="410F749A" w14:textId="77777777" w:rsidR="00F4266F" w:rsidRPr="00F46E8A" w:rsidRDefault="00F4266F" w:rsidP="0084131F">
      <w:pPr>
        <w:pStyle w:val="GAIA1stlevel"/>
        <w:rPr>
          <w:rFonts w:eastAsia="Times New Roman"/>
        </w:rPr>
      </w:pPr>
      <w:r w:rsidRPr="00F46E8A">
        <w:rPr>
          <w:rFonts w:eastAsia="Times New Roman"/>
        </w:rPr>
        <w:t>References</w:t>
      </w:r>
    </w:p>
    <w:p w14:paraId="08F91516" w14:textId="77777777" w:rsidR="00F4266F" w:rsidRPr="00F46E8A" w:rsidRDefault="00F4266F" w:rsidP="00F4266F">
      <w:pPr>
        <w:spacing w:before="100" w:beforeAutospacing="1" w:after="100" w:afterAutospacing="1"/>
        <w:ind w:left="0" w:firstLine="0"/>
        <w:jc w:val="left"/>
        <w:rPr>
          <w:rFonts w:eastAsia="Times New Roman" w:cs="Times New Roman"/>
          <w:color w:val="auto"/>
          <w:kern w:val="0"/>
          <w14:ligatures w14:val="none"/>
        </w:rPr>
      </w:pPr>
      <w:r w:rsidRPr="00F46E8A">
        <w:rPr>
          <w:rFonts w:eastAsia="Times New Roman" w:cs="Times New Roman"/>
          <w:color w:val="auto"/>
          <w:kern w:val="0"/>
          <w14:ligatures w14:val="none"/>
        </w:rPr>
        <w:t xml:space="preserve">Blume, S. (1992). </w:t>
      </w:r>
      <w:r w:rsidRPr="00F46E8A">
        <w:rPr>
          <w:rFonts w:eastAsia="Times New Roman" w:cs="Times New Roman"/>
          <w:i/>
          <w:iCs/>
          <w:color w:val="auto"/>
          <w:kern w:val="0"/>
          <w14:ligatures w14:val="none"/>
        </w:rPr>
        <w:t>Insight and Industry: On the Dynamics of Technological Change in Medicine</w:t>
      </w:r>
      <w:r w:rsidRPr="00F46E8A">
        <w:rPr>
          <w:rFonts w:eastAsia="Times New Roman" w:cs="Times New Roman"/>
          <w:color w:val="auto"/>
          <w:kern w:val="0"/>
          <w14:ligatures w14:val="none"/>
        </w:rPr>
        <w:t>. MIT Press.</w:t>
      </w:r>
    </w:p>
    <w:p w14:paraId="56AA9800" w14:textId="77777777" w:rsidR="00F4266F" w:rsidRPr="00F46E8A" w:rsidRDefault="00F4266F" w:rsidP="00F4266F">
      <w:pPr>
        <w:spacing w:before="100" w:beforeAutospacing="1" w:after="100" w:afterAutospacing="1"/>
        <w:ind w:left="0" w:firstLine="0"/>
        <w:jc w:val="left"/>
        <w:rPr>
          <w:rFonts w:eastAsia="Times New Roman" w:cs="Times New Roman"/>
          <w:color w:val="auto"/>
          <w:kern w:val="0"/>
          <w14:ligatures w14:val="none"/>
        </w:rPr>
      </w:pPr>
      <w:r w:rsidRPr="00F46E8A">
        <w:rPr>
          <w:rFonts w:eastAsia="Times New Roman" w:cs="Times New Roman"/>
          <w:color w:val="auto"/>
          <w:kern w:val="0"/>
          <w14:ligatures w14:val="none"/>
        </w:rPr>
        <w:t xml:space="preserve">Buser, D., </w:t>
      </w:r>
      <w:proofErr w:type="spellStart"/>
      <w:r w:rsidRPr="00F46E8A">
        <w:rPr>
          <w:rFonts w:eastAsia="Times New Roman" w:cs="Times New Roman"/>
          <w:color w:val="auto"/>
          <w:kern w:val="0"/>
          <w14:ligatures w14:val="none"/>
        </w:rPr>
        <w:t>Sennerby</w:t>
      </w:r>
      <w:proofErr w:type="spellEnd"/>
      <w:r w:rsidRPr="00F46E8A">
        <w:rPr>
          <w:rFonts w:eastAsia="Times New Roman" w:cs="Times New Roman"/>
          <w:color w:val="auto"/>
          <w:kern w:val="0"/>
          <w14:ligatures w14:val="none"/>
        </w:rPr>
        <w:t xml:space="preserve">, L., &amp; De Bruyn, H. (2017). Modern implant dentistry based on osseointegration: 50 years of progress, current trends and open questions. </w:t>
      </w:r>
      <w:r w:rsidRPr="00F46E8A">
        <w:rPr>
          <w:rFonts w:eastAsia="Times New Roman" w:cs="Times New Roman"/>
          <w:i/>
          <w:iCs/>
          <w:color w:val="auto"/>
          <w:kern w:val="0"/>
          <w14:ligatures w14:val="none"/>
        </w:rPr>
        <w:t>Periodontology 2000</w:t>
      </w:r>
      <w:r w:rsidRPr="00F46E8A">
        <w:rPr>
          <w:rFonts w:eastAsia="Times New Roman" w:cs="Times New Roman"/>
          <w:color w:val="auto"/>
          <w:kern w:val="0"/>
          <w14:ligatures w14:val="none"/>
        </w:rPr>
        <w:t>, 73(1), 7-21.</w:t>
      </w:r>
    </w:p>
    <w:p w14:paraId="69961BE1" w14:textId="77777777" w:rsidR="00F4266F" w:rsidRPr="00F46E8A" w:rsidRDefault="00F4266F" w:rsidP="00F4266F">
      <w:pPr>
        <w:spacing w:before="100" w:beforeAutospacing="1" w:after="100" w:afterAutospacing="1"/>
        <w:ind w:left="0" w:firstLine="0"/>
        <w:jc w:val="left"/>
        <w:rPr>
          <w:rFonts w:eastAsia="Times New Roman" w:cs="Times New Roman"/>
          <w:color w:val="auto"/>
          <w:kern w:val="0"/>
          <w14:ligatures w14:val="none"/>
        </w:rPr>
      </w:pPr>
      <w:proofErr w:type="spellStart"/>
      <w:r w:rsidRPr="00F46E8A">
        <w:rPr>
          <w:rFonts w:eastAsia="Times New Roman" w:cs="Times New Roman"/>
          <w:color w:val="auto"/>
          <w:kern w:val="0"/>
          <w14:ligatures w14:val="none"/>
        </w:rPr>
        <w:t>Chernew</w:t>
      </w:r>
      <w:proofErr w:type="spellEnd"/>
      <w:r w:rsidRPr="00F46E8A">
        <w:rPr>
          <w:rFonts w:eastAsia="Times New Roman" w:cs="Times New Roman"/>
          <w:color w:val="auto"/>
          <w:kern w:val="0"/>
          <w14:ligatures w14:val="none"/>
        </w:rPr>
        <w:t xml:space="preserve">, M. E., Cooper, Z., Larsen-Hallock, E., &amp; Morton, F. S. (2021). Are health care services still local? Evidence from dental markets. </w:t>
      </w:r>
      <w:r w:rsidRPr="00F46E8A">
        <w:rPr>
          <w:rFonts w:eastAsia="Times New Roman" w:cs="Times New Roman"/>
          <w:i/>
          <w:iCs/>
          <w:color w:val="auto"/>
          <w:kern w:val="0"/>
          <w14:ligatures w14:val="none"/>
        </w:rPr>
        <w:t>NBER Working Paper Series</w:t>
      </w:r>
      <w:r w:rsidRPr="00F46E8A">
        <w:rPr>
          <w:rFonts w:eastAsia="Times New Roman" w:cs="Times New Roman"/>
          <w:color w:val="auto"/>
          <w:kern w:val="0"/>
          <w14:ligatures w14:val="none"/>
        </w:rPr>
        <w:t>, No. 28752.</w:t>
      </w:r>
    </w:p>
    <w:p w14:paraId="3EB86573" w14:textId="77777777" w:rsidR="00F4266F" w:rsidRPr="00F46E8A" w:rsidRDefault="00F4266F" w:rsidP="00F4266F">
      <w:pPr>
        <w:spacing w:before="100" w:beforeAutospacing="1" w:after="100" w:afterAutospacing="1"/>
        <w:ind w:left="0" w:firstLine="0"/>
        <w:jc w:val="left"/>
        <w:rPr>
          <w:rFonts w:eastAsia="Times New Roman" w:cs="Times New Roman"/>
          <w:color w:val="auto"/>
          <w:kern w:val="0"/>
          <w14:ligatures w14:val="none"/>
        </w:rPr>
      </w:pPr>
      <w:r w:rsidRPr="00F46E8A">
        <w:rPr>
          <w:rFonts w:eastAsia="Times New Roman" w:cs="Times New Roman"/>
          <w:color w:val="auto"/>
          <w:kern w:val="0"/>
          <w14:ligatures w14:val="none"/>
        </w:rPr>
        <w:t xml:space="preserve">Christensen, C. M., Raynor, M. E., &amp; McDonald, R. (2015). What is disruptive innovation? </w:t>
      </w:r>
      <w:r w:rsidRPr="00F46E8A">
        <w:rPr>
          <w:rFonts w:eastAsia="Times New Roman" w:cs="Times New Roman"/>
          <w:i/>
          <w:iCs/>
          <w:color w:val="auto"/>
          <w:kern w:val="0"/>
          <w14:ligatures w14:val="none"/>
        </w:rPr>
        <w:t>Harvard Business Review</w:t>
      </w:r>
      <w:r w:rsidRPr="00F46E8A">
        <w:rPr>
          <w:rFonts w:eastAsia="Times New Roman" w:cs="Times New Roman"/>
          <w:color w:val="auto"/>
          <w:kern w:val="0"/>
          <w14:ligatures w14:val="none"/>
        </w:rPr>
        <w:t>, 93(12), 44-53.</w:t>
      </w:r>
    </w:p>
    <w:p w14:paraId="4318B708" w14:textId="77777777" w:rsidR="00F4266F" w:rsidRPr="00F46E8A" w:rsidRDefault="00F4266F" w:rsidP="00F4266F">
      <w:pPr>
        <w:spacing w:before="100" w:beforeAutospacing="1" w:after="100" w:afterAutospacing="1"/>
        <w:ind w:left="0" w:firstLine="0"/>
        <w:jc w:val="left"/>
        <w:rPr>
          <w:rFonts w:eastAsia="Times New Roman" w:cs="Times New Roman"/>
          <w:color w:val="auto"/>
          <w:kern w:val="0"/>
          <w14:ligatures w14:val="none"/>
        </w:rPr>
      </w:pPr>
      <w:r w:rsidRPr="00F46E8A">
        <w:rPr>
          <w:rFonts w:eastAsia="Times New Roman" w:cs="Times New Roman"/>
          <w:color w:val="auto"/>
          <w:kern w:val="0"/>
          <w14:ligatures w14:val="none"/>
        </w:rPr>
        <w:t xml:space="preserve">Garla, B. K. (2014). The history and evolution of dental insurance in the United States. </w:t>
      </w:r>
      <w:r w:rsidRPr="00F46E8A">
        <w:rPr>
          <w:rFonts w:eastAsia="Times New Roman" w:cs="Times New Roman"/>
          <w:i/>
          <w:iCs/>
          <w:color w:val="auto"/>
          <w:kern w:val="0"/>
          <w14:ligatures w14:val="none"/>
        </w:rPr>
        <w:t>Journal of Dental Insurance Studies</w:t>
      </w:r>
      <w:r w:rsidRPr="00F46E8A">
        <w:rPr>
          <w:rFonts w:eastAsia="Times New Roman" w:cs="Times New Roman"/>
          <w:color w:val="auto"/>
          <w:kern w:val="0"/>
          <w14:ligatures w14:val="none"/>
        </w:rPr>
        <w:t>, 8(2), 45-67.</w:t>
      </w:r>
    </w:p>
    <w:p w14:paraId="263287F9" w14:textId="77777777" w:rsidR="00F4266F" w:rsidRPr="00F46E8A" w:rsidRDefault="00F4266F" w:rsidP="00F4266F">
      <w:pPr>
        <w:spacing w:before="100" w:beforeAutospacing="1" w:after="100" w:afterAutospacing="1"/>
        <w:ind w:left="0" w:firstLine="0"/>
        <w:jc w:val="left"/>
        <w:rPr>
          <w:rFonts w:eastAsia="Times New Roman" w:cs="Times New Roman"/>
          <w:color w:val="auto"/>
          <w:kern w:val="0"/>
          <w14:ligatures w14:val="none"/>
        </w:rPr>
      </w:pPr>
      <w:proofErr w:type="spellStart"/>
      <w:r w:rsidRPr="00F46E8A">
        <w:rPr>
          <w:rFonts w:eastAsia="Times New Roman" w:cs="Times New Roman"/>
          <w:color w:val="auto"/>
          <w:kern w:val="0"/>
          <w14:ligatures w14:val="none"/>
        </w:rPr>
        <w:t>Gelijns</w:t>
      </w:r>
      <w:proofErr w:type="spellEnd"/>
      <w:r w:rsidRPr="00F46E8A">
        <w:rPr>
          <w:rFonts w:eastAsia="Times New Roman" w:cs="Times New Roman"/>
          <w:color w:val="auto"/>
          <w:kern w:val="0"/>
          <w14:ligatures w14:val="none"/>
        </w:rPr>
        <w:t xml:space="preserve">, A. C., &amp; Halm, E. A. (1991). The changing economics of medical technology. </w:t>
      </w:r>
      <w:r w:rsidRPr="00F46E8A">
        <w:rPr>
          <w:rFonts w:eastAsia="Times New Roman" w:cs="Times New Roman"/>
          <w:i/>
          <w:iCs/>
          <w:color w:val="auto"/>
          <w:kern w:val="0"/>
          <w14:ligatures w14:val="none"/>
        </w:rPr>
        <w:t>National Academy of Sciences Institute of Medicine</w:t>
      </w:r>
      <w:r w:rsidRPr="00F46E8A">
        <w:rPr>
          <w:rFonts w:eastAsia="Times New Roman" w:cs="Times New Roman"/>
          <w:color w:val="auto"/>
          <w:kern w:val="0"/>
          <w14:ligatures w14:val="none"/>
        </w:rPr>
        <w:t>.</w:t>
      </w:r>
    </w:p>
    <w:p w14:paraId="7B971BAB" w14:textId="77777777" w:rsidR="00F4266F" w:rsidRPr="00F46E8A" w:rsidRDefault="00F4266F" w:rsidP="00F4266F">
      <w:pPr>
        <w:spacing w:before="100" w:beforeAutospacing="1" w:after="100" w:afterAutospacing="1"/>
        <w:ind w:left="0" w:firstLine="0"/>
        <w:jc w:val="left"/>
        <w:rPr>
          <w:rFonts w:eastAsia="Times New Roman" w:cs="Times New Roman"/>
          <w:color w:val="auto"/>
          <w:kern w:val="0"/>
          <w14:ligatures w14:val="none"/>
        </w:rPr>
      </w:pPr>
      <w:r w:rsidRPr="00F46E8A">
        <w:rPr>
          <w:rFonts w:eastAsia="Times New Roman" w:cs="Times New Roman"/>
          <w:color w:val="auto"/>
          <w:kern w:val="0"/>
          <w14:ligatures w14:val="none"/>
        </w:rPr>
        <w:t xml:space="preserve">Government Accountability Office (GAO). (2013). </w:t>
      </w:r>
      <w:r w:rsidRPr="00F46E8A">
        <w:rPr>
          <w:rFonts w:eastAsia="Times New Roman" w:cs="Times New Roman"/>
          <w:i/>
          <w:iCs/>
          <w:color w:val="auto"/>
          <w:kern w:val="0"/>
          <w14:ligatures w14:val="none"/>
        </w:rPr>
        <w:t>Dental Services: Information on Coverage, Payments, and Efforts to Increase Access</w:t>
      </w:r>
      <w:r w:rsidRPr="00F46E8A">
        <w:rPr>
          <w:rFonts w:eastAsia="Times New Roman" w:cs="Times New Roman"/>
          <w:color w:val="auto"/>
          <w:kern w:val="0"/>
          <w14:ligatures w14:val="none"/>
        </w:rPr>
        <w:t>. GAO-13-754. Washington, DC.</w:t>
      </w:r>
    </w:p>
    <w:p w14:paraId="6F0D6282" w14:textId="77777777" w:rsidR="00F4266F" w:rsidRPr="00F46E8A" w:rsidRDefault="00F4266F" w:rsidP="00F4266F">
      <w:pPr>
        <w:spacing w:before="100" w:beforeAutospacing="1" w:after="100" w:afterAutospacing="1"/>
        <w:ind w:left="0" w:firstLine="0"/>
        <w:jc w:val="left"/>
        <w:rPr>
          <w:rFonts w:eastAsia="Times New Roman" w:cs="Times New Roman"/>
          <w:color w:val="auto"/>
          <w:kern w:val="0"/>
          <w14:ligatures w14:val="none"/>
        </w:rPr>
      </w:pPr>
      <w:r w:rsidRPr="00F46E8A">
        <w:rPr>
          <w:rFonts w:eastAsia="Times New Roman" w:cs="Times New Roman"/>
          <w:color w:val="auto"/>
          <w:kern w:val="0"/>
          <w14:ligatures w14:val="none"/>
        </w:rPr>
        <w:t xml:space="preserve">Heft, M. W., Fox, C. H., &amp; Duncan, R. P. (2020). Assessing the translation of research and innovation into dental practice. </w:t>
      </w:r>
      <w:r w:rsidRPr="00F46E8A">
        <w:rPr>
          <w:rFonts w:eastAsia="Times New Roman" w:cs="Times New Roman"/>
          <w:i/>
          <w:iCs/>
          <w:color w:val="auto"/>
          <w:kern w:val="0"/>
          <w14:ligatures w14:val="none"/>
        </w:rPr>
        <w:t>JDR Clinical &amp; Translational Research</w:t>
      </w:r>
      <w:r w:rsidRPr="00F46E8A">
        <w:rPr>
          <w:rFonts w:eastAsia="Times New Roman" w:cs="Times New Roman"/>
          <w:color w:val="auto"/>
          <w:kern w:val="0"/>
          <w14:ligatures w14:val="none"/>
        </w:rPr>
        <w:t>, 5(3), 262-270.</w:t>
      </w:r>
    </w:p>
    <w:p w14:paraId="6F890AF0" w14:textId="77777777" w:rsidR="00F4266F" w:rsidRPr="00F46E8A" w:rsidRDefault="00F4266F" w:rsidP="00F4266F">
      <w:pPr>
        <w:spacing w:before="100" w:beforeAutospacing="1" w:after="100" w:afterAutospacing="1"/>
        <w:ind w:left="0" w:firstLine="0"/>
        <w:jc w:val="left"/>
        <w:rPr>
          <w:rFonts w:eastAsia="Times New Roman" w:cs="Times New Roman"/>
          <w:color w:val="auto"/>
          <w:kern w:val="0"/>
          <w14:ligatures w14:val="none"/>
        </w:rPr>
      </w:pPr>
      <w:proofErr w:type="spellStart"/>
      <w:r w:rsidRPr="00F46E8A">
        <w:rPr>
          <w:rFonts w:eastAsia="Times New Roman" w:cs="Times New Roman"/>
          <w:color w:val="auto"/>
          <w:kern w:val="0"/>
          <w14:ligatures w14:val="none"/>
        </w:rPr>
        <w:t>Jemat</w:t>
      </w:r>
      <w:proofErr w:type="spellEnd"/>
      <w:r w:rsidRPr="00F46E8A">
        <w:rPr>
          <w:rFonts w:eastAsia="Times New Roman" w:cs="Times New Roman"/>
          <w:color w:val="auto"/>
          <w:kern w:val="0"/>
          <w14:ligatures w14:val="none"/>
        </w:rPr>
        <w:t xml:space="preserve">, A., Ghazali, M. J., Razali, M., &amp; Otsuka, Y. (2015). Surface modifications and their effects on titanium dental implants. </w:t>
      </w:r>
      <w:r w:rsidRPr="00F46E8A">
        <w:rPr>
          <w:rFonts w:eastAsia="Times New Roman" w:cs="Times New Roman"/>
          <w:i/>
          <w:iCs/>
          <w:color w:val="auto"/>
          <w:kern w:val="0"/>
          <w14:ligatures w14:val="none"/>
        </w:rPr>
        <w:t>BioMed Research International</w:t>
      </w:r>
      <w:r w:rsidRPr="00F46E8A">
        <w:rPr>
          <w:rFonts w:eastAsia="Times New Roman" w:cs="Times New Roman"/>
          <w:color w:val="auto"/>
          <w:kern w:val="0"/>
          <w14:ligatures w14:val="none"/>
        </w:rPr>
        <w:t>, 2015, Article ID 791725.</w:t>
      </w:r>
    </w:p>
    <w:p w14:paraId="777580CF" w14:textId="77777777" w:rsidR="00F4266F" w:rsidRPr="00F46E8A" w:rsidRDefault="00F4266F" w:rsidP="00F4266F">
      <w:pPr>
        <w:spacing w:before="100" w:beforeAutospacing="1" w:after="100" w:afterAutospacing="1"/>
        <w:ind w:left="0" w:firstLine="0"/>
        <w:jc w:val="left"/>
        <w:rPr>
          <w:rFonts w:eastAsia="Times New Roman" w:cs="Times New Roman"/>
          <w:color w:val="auto"/>
          <w:kern w:val="0"/>
          <w14:ligatures w14:val="none"/>
        </w:rPr>
      </w:pPr>
      <w:proofErr w:type="spellStart"/>
      <w:r w:rsidRPr="00F46E8A">
        <w:rPr>
          <w:rFonts w:eastAsia="Times New Roman" w:cs="Times New Roman"/>
          <w:color w:val="auto"/>
          <w:kern w:val="0"/>
          <w14:ligatures w14:val="none"/>
        </w:rPr>
        <w:t>Leelanarathiwat</w:t>
      </w:r>
      <w:proofErr w:type="spellEnd"/>
      <w:r w:rsidRPr="00F46E8A">
        <w:rPr>
          <w:rFonts w:eastAsia="Times New Roman" w:cs="Times New Roman"/>
          <w:color w:val="auto"/>
          <w:kern w:val="0"/>
          <w14:ligatures w14:val="none"/>
        </w:rPr>
        <w:t xml:space="preserve">, W., </w:t>
      </w:r>
      <w:proofErr w:type="spellStart"/>
      <w:r w:rsidRPr="00F46E8A">
        <w:rPr>
          <w:rFonts w:eastAsia="Times New Roman" w:cs="Times New Roman"/>
          <w:color w:val="auto"/>
          <w:kern w:val="0"/>
          <w14:ligatures w14:val="none"/>
        </w:rPr>
        <w:t>Osathanon</w:t>
      </w:r>
      <w:proofErr w:type="spellEnd"/>
      <w:r w:rsidRPr="00F46E8A">
        <w:rPr>
          <w:rFonts w:eastAsia="Times New Roman" w:cs="Times New Roman"/>
          <w:color w:val="auto"/>
          <w:kern w:val="0"/>
          <w14:ligatures w14:val="none"/>
        </w:rPr>
        <w:t xml:space="preserve">, T., &amp; </w:t>
      </w:r>
      <w:proofErr w:type="spellStart"/>
      <w:r w:rsidRPr="00F46E8A">
        <w:rPr>
          <w:rFonts w:eastAsia="Times New Roman" w:cs="Times New Roman"/>
          <w:color w:val="auto"/>
          <w:kern w:val="0"/>
          <w14:ligatures w14:val="none"/>
        </w:rPr>
        <w:t>Suwanwela</w:t>
      </w:r>
      <w:proofErr w:type="spellEnd"/>
      <w:r w:rsidRPr="00F46E8A">
        <w:rPr>
          <w:rFonts w:eastAsia="Times New Roman" w:cs="Times New Roman"/>
          <w:color w:val="auto"/>
          <w:kern w:val="0"/>
          <w14:ligatures w14:val="none"/>
        </w:rPr>
        <w:t xml:space="preserve">, J. (2024). Surface modification of titanium dental implants: A comprehensive review of current technologies and future perspectives. </w:t>
      </w:r>
      <w:r w:rsidRPr="00F46E8A">
        <w:rPr>
          <w:rFonts w:eastAsia="Times New Roman" w:cs="Times New Roman"/>
          <w:i/>
          <w:iCs/>
          <w:color w:val="auto"/>
          <w:kern w:val="0"/>
          <w14:ligatures w14:val="none"/>
        </w:rPr>
        <w:t>Journal of Functional Biomaterials</w:t>
      </w:r>
      <w:r w:rsidRPr="00F46E8A">
        <w:rPr>
          <w:rFonts w:eastAsia="Times New Roman" w:cs="Times New Roman"/>
          <w:color w:val="auto"/>
          <w:kern w:val="0"/>
          <w14:ligatures w14:val="none"/>
        </w:rPr>
        <w:t>, 15(2), 45.</w:t>
      </w:r>
    </w:p>
    <w:p w14:paraId="71DB8D7E" w14:textId="77777777" w:rsidR="00F4266F" w:rsidRPr="00F46E8A" w:rsidRDefault="00F4266F" w:rsidP="00F4266F">
      <w:pPr>
        <w:spacing w:before="100" w:beforeAutospacing="1" w:after="100" w:afterAutospacing="1"/>
        <w:ind w:left="0" w:firstLine="0"/>
        <w:jc w:val="left"/>
        <w:rPr>
          <w:rFonts w:eastAsia="Times New Roman" w:cs="Times New Roman"/>
          <w:color w:val="auto"/>
          <w:kern w:val="0"/>
          <w14:ligatures w14:val="none"/>
        </w:rPr>
      </w:pPr>
      <w:r w:rsidRPr="00F46E8A">
        <w:rPr>
          <w:rFonts w:eastAsia="Times New Roman" w:cs="Times New Roman"/>
          <w:color w:val="auto"/>
          <w:kern w:val="0"/>
          <w14:ligatures w14:val="none"/>
        </w:rPr>
        <w:t xml:space="preserve">Miller, C. E., &amp; Patel, N. H. (2023). Navigating PPO contracts in modern dental practice. </w:t>
      </w:r>
      <w:r w:rsidRPr="00F46E8A">
        <w:rPr>
          <w:rFonts w:eastAsia="Times New Roman" w:cs="Times New Roman"/>
          <w:i/>
          <w:iCs/>
          <w:color w:val="auto"/>
          <w:kern w:val="0"/>
          <w14:ligatures w14:val="none"/>
        </w:rPr>
        <w:t>Journal of Dental Practice Management</w:t>
      </w:r>
      <w:r w:rsidRPr="00F46E8A">
        <w:rPr>
          <w:rFonts w:eastAsia="Times New Roman" w:cs="Times New Roman"/>
          <w:color w:val="auto"/>
          <w:kern w:val="0"/>
          <w14:ligatures w14:val="none"/>
        </w:rPr>
        <w:t>, 15(3), 112-129.</w:t>
      </w:r>
    </w:p>
    <w:p w14:paraId="0ED00433" w14:textId="77777777" w:rsidR="00F4266F" w:rsidRPr="00F46E8A" w:rsidRDefault="00F4266F" w:rsidP="00F4266F">
      <w:pPr>
        <w:spacing w:before="100" w:beforeAutospacing="1" w:after="100" w:afterAutospacing="1"/>
        <w:ind w:left="0" w:firstLine="0"/>
        <w:jc w:val="left"/>
        <w:rPr>
          <w:rFonts w:eastAsia="Times New Roman" w:cs="Times New Roman"/>
          <w:color w:val="auto"/>
          <w:kern w:val="0"/>
          <w14:ligatures w14:val="none"/>
        </w:rPr>
      </w:pPr>
      <w:r w:rsidRPr="00F46E8A">
        <w:rPr>
          <w:rFonts w:eastAsia="Times New Roman" w:cs="Times New Roman"/>
          <w:color w:val="auto"/>
          <w:kern w:val="0"/>
          <w14:ligatures w14:val="none"/>
        </w:rPr>
        <w:t xml:space="preserve">National Center for Biotechnology Information (NCBI). (1980). </w:t>
      </w:r>
      <w:r w:rsidRPr="00F46E8A">
        <w:rPr>
          <w:rFonts w:eastAsia="Times New Roman" w:cs="Times New Roman"/>
          <w:i/>
          <w:iCs/>
          <w:color w:val="auto"/>
          <w:kern w:val="0"/>
          <w14:ligatures w14:val="none"/>
        </w:rPr>
        <w:t>Dental Services in Prepaid Group Practice</w:t>
      </w:r>
      <w:r w:rsidRPr="00F46E8A">
        <w:rPr>
          <w:rFonts w:eastAsia="Times New Roman" w:cs="Times New Roman"/>
          <w:color w:val="auto"/>
          <w:kern w:val="0"/>
          <w14:ligatures w14:val="none"/>
        </w:rPr>
        <w:t>. In: Institute of Medicine (US) Division of Health Care Services. Washington, DC: National Academies Press.</w:t>
      </w:r>
    </w:p>
    <w:p w14:paraId="0BDDF031" w14:textId="5D3DE1E1" w:rsidR="00354108" w:rsidRDefault="00F4266F" w:rsidP="0084131F">
      <w:pPr>
        <w:spacing w:after="0" w:line="240" w:lineRule="auto"/>
        <w:ind w:left="0" w:firstLine="0"/>
        <w:jc w:val="left"/>
        <w:rPr>
          <w:rtl/>
        </w:rPr>
      </w:pPr>
      <w:r w:rsidRPr="00F46E8A">
        <w:rPr>
          <w:rFonts w:eastAsia="Times New Roman" w:cs="Times New Roman"/>
          <w:color w:val="auto"/>
          <w:kern w:val="0"/>
          <w14:ligatures w14:val="none"/>
        </w:rPr>
        <w:t xml:space="preserve">Slavkin, H. C. (2012). Evolution and revolution in dentistry. </w:t>
      </w:r>
      <w:r w:rsidRPr="00F46E8A">
        <w:rPr>
          <w:rFonts w:eastAsia="Times New Roman" w:cs="Times New Roman"/>
          <w:i/>
          <w:iCs/>
          <w:color w:val="auto"/>
          <w:kern w:val="0"/>
          <w14:ligatures w14:val="none"/>
        </w:rPr>
        <w:t>Journal of the American</w:t>
      </w:r>
    </w:p>
    <w:sectPr w:rsidR="00354108" w:rsidSect="00B24C3D">
      <w:headerReference w:type="default" r:id="rId8"/>
      <w:footerReference w:type="even" r:id="rId9"/>
      <w:footerReference w:type="default" r:id="rId10"/>
      <w:headerReference w:type="first" r:id="rId11"/>
      <w:footerReference w:type="first" r:id="rId12"/>
      <w:pgSz w:w="11900" w:h="16840"/>
      <w:pgMar w:top="1440" w:right="1272" w:bottom="721" w:left="1256" w:header="720" w:footer="720" w:gutter="0"/>
      <w:pgNumType w:start="20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2F2EE" w14:textId="77777777" w:rsidR="00187094" w:rsidRDefault="00187094">
      <w:pPr>
        <w:spacing w:after="0" w:line="240" w:lineRule="auto"/>
      </w:pPr>
      <w:r>
        <w:separator/>
      </w:r>
    </w:p>
  </w:endnote>
  <w:endnote w:type="continuationSeparator" w:id="0">
    <w:p w14:paraId="0F206869" w14:textId="77777777" w:rsidR="00187094" w:rsidRDefault="00187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Baskerville Old Face">
    <w:panose1 w:val="02020602080505020303"/>
    <w:charset w:val="00"/>
    <w:family w:val="roman"/>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merican Typewriter Light">
    <w:altName w:val="AMERICAN TYPEWRITER LIGHT"/>
    <w:panose1 w:val="02090304020004020304"/>
    <w:charset w:val="00"/>
    <w:family w:val="roman"/>
    <w:pitch w:val="variable"/>
    <w:sig w:usb0="A000006F" w:usb1="00000019" w:usb2="00000000" w:usb3="00000000" w:csb0="00000111" w:csb1="00000000"/>
  </w:font>
  <w:font w:name="American Typewriter">
    <w:panose1 w:val="02090604020004020304"/>
    <w:charset w:val="00"/>
    <w:family w:val="roman"/>
    <w:pitch w:val="variable"/>
    <w:sig w:usb0="A000006F" w:usb1="00000019" w:usb2="00000000" w:usb3="00000000" w:csb0="00000111" w:csb1="00000000"/>
  </w:font>
  <w:font w:name="AMERICAN TYPEWRITER SEMIBOLD">
    <w:panose1 w:val="02090604020004020304"/>
    <w:charset w:val="00"/>
    <w:family w:val="roman"/>
    <w:pitch w:val="variable"/>
    <w:sig w:usb0="A000006F" w:usb1="00000019" w:usb2="00000000" w:usb3="00000000" w:csb0="00000111" w:csb1="00000000"/>
  </w:font>
  <w:font w:name="ADLaM Display">
    <w:panose1 w:val="02010000000000000000"/>
    <w:charset w:val="00"/>
    <w:family w:val="auto"/>
    <w:pitch w:val="variable"/>
    <w:sig w:usb0="8000206F" w:usb1="4200004A"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1445765353"/>
      <w:docPartObj>
        <w:docPartGallery w:val="Page Numbers (Bottom of Page)"/>
        <w:docPartUnique/>
      </w:docPartObj>
    </w:sdtPr>
    <w:sdtContent>
      <w:p w14:paraId="25574C3A" w14:textId="77777777" w:rsidR="007C36B8" w:rsidRDefault="00000000" w:rsidP="00D739B4">
        <w:pPr>
          <w:pStyle w:val="a4"/>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sdtContent>
  </w:sdt>
  <w:sdt>
    <w:sdtPr>
      <w:rPr>
        <w:rStyle w:val="af2"/>
      </w:rPr>
      <w:id w:val="288711803"/>
      <w:docPartObj>
        <w:docPartGallery w:val="Page Numbers (Bottom of Page)"/>
        <w:docPartUnique/>
      </w:docPartObj>
    </w:sdtPr>
    <w:sdtContent>
      <w:p w14:paraId="211411B5" w14:textId="77777777" w:rsidR="007C36B8" w:rsidRDefault="00000000" w:rsidP="00D739B4">
        <w:pPr>
          <w:pStyle w:val="a4"/>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sdtContent>
  </w:sdt>
  <w:p w14:paraId="19F80EEB" w14:textId="77777777" w:rsidR="007C36B8" w:rsidRDefault="00000000">
    <w:pPr>
      <w:tabs>
        <w:tab w:val="center" w:pos="4831"/>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6A2DFB7" wp14:editId="616D5A7A">
              <wp:simplePos x="0" y="0"/>
              <wp:positionH relativeFrom="page">
                <wp:posOffset>786384</wp:posOffset>
              </wp:positionH>
              <wp:positionV relativeFrom="page">
                <wp:posOffset>9122664</wp:posOffset>
              </wp:positionV>
              <wp:extent cx="5980176" cy="6096"/>
              <wp:effectExtent l="0" t="0" r="0" b="0"/>
              <wp:wrapSquare wrapText="bothSides"/>
              <wp:docPr id="10991" name="Group 10991"/>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1192" name="Shape 11192"/>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A8B033" id="Group 10991" o:spid="_x0000_s1026" style="position:absolute;left:0;text-align:left;margin-left:61.9pt;margin-top:718.3pt;width:470.9pt;height:.5pt;z-index:251659264;mso-position-horizontal-relative:page;mso-position-vertical-relative:page" coordsize="598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">
              <v:shape id="Shape 11192" o:spid="_x0000_s1027" style="position:absolute;width:59801;height:91;visibility:visible;mso-wrap-style:square;v-text-anchor:top" coordsize="598017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" path="m,l5980176,r,9144l,9144,,e" fillcolor="black" stroked="f" strokeweight="0">
                <v:stroke miterlimit="83231f" joinstyle="miter"/>
                <v:path arrowok="t" textboxrect="0,0,5980176,9144"/>
              </v:shape>
              <w10:wrap type="square" anchorx="page" anchory="page"/>
            </v:group>
          </w:pict>
        </mc:Fallback>
      </mc:AlternateContent>
    </w:r>
    <w:r>
      <w:rPr>
        <w:i/>
        <w:sz w:val="20"/>
      </w:rPr>
      <w:t xml:space="preserve">Gaia </w:t>
    </w:r>
    <w:r>
      <w:rPr>
        <w:sz w:val="20"/>
      </w:rPr>
      <w:t xml:space="preserve">– </w:t>
    </w:r>
    <w:r>
      <w:rPr>
        <w:b/>
        <w:sz w:val="20"/>
      </w:rPr>
      <w:t>Volume 1, Issue 1</w:t>
    </w:r>
    <w:r>
      <w:t xml:space="preserve"> </w:t>
    </w:r>
    <w:r>
      <w:tab/>
    </w:r>
    <w:r>
      <w:rPr>
        <w:rFonts w:ascii="Times New Roman" w:eastAsia="Times New Roman" w:hAnsi="Times New Roman" w:cs="Times New Roman"/>
      </w:rPr>
      <w:t xml:space="preserve"> </w:t>
    </w:r>
  </w:p>
  <w:p w14:paraId="5C610FC2" w14:textId="77777777" w:rsidR="007C36B8" w:rsidRDefault="00000000">
    <w:pPr>
      <w:spacing w:after="0" w:line="259" w:lineRule="auto"/>
      <w:ind w:left="354" w:firstLine="0"/>
      <w:jc w:val="center"/>
    </w:pPr>
    <w:r>
      <w:rPr>
        <w:rFonts w:ascii="Times New Roman" w:eastAsia="Times New Roman" w:hAnsi="Times New Roman" w:cs="Times New Roman"/>
      </w:rPr>
      <w:t xml:space="preserve"> </w:t>
    </w:r>
  </w:p>
  <w:p w14:paraId="12A65CC5" w14:textId="77777777" w:rsidR="007C36B8" w:rsidRDefault="00000000">
    <w:pPr>
      <w:spacing w:after="0" w:line="259" w:lineRule="auto"/>
      <w:ind w:left="345" w:firstLine="0"/>
      <w:jc w:val="center"/>
    </w:pPr>
    <w:r>
      <w:rPr>
        <w:sz w:val="20"/>
      </w:rPr>
      <w:t xml:space="preserve"> </w:t>
    </w:r>
  </w:p>
  <w:p w14:paraId="1341BC7F" w14:textId="77777777" w:rsidR="007C36B8" w:rsidRDefault="007C36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B94A" w14:textId="77777777" w:rsidR="007C36B8" w:rsidRDefault="007C36B8">
    <w:pPr>
      <w:pBdr>
        <w:bottom w:val="single" w:sz="6" w:space="1" w:color="auto"/>
      </w:pBdr>
      <w:tabs>
        <w:tab w:val="center" w:pos="4831"/>
      </w:tabs>
      <w:spacing w:after="0" w:line="259" w:lineRule="auto"/>
      <w:ind w:left="0" w:firstLine="0"/>
      <w:jc w:val="left"/>
      <w:rPr>
        <w:i/>
        <w:sz w:val="20"/>
      </w:rPr>
    </w:pPr>
  </w:p>
  <w:sdt>
    <w:sdtPr>
      <w:rPr>
        <w:rStyle w:val="af2"/>
      </w:rPr>
      <w:id w:val="1527756886"/>
      <w:docPartObj>
        <w:docPartGallery w:val="Page Numbers (Bottom of Page)"/>
        <w:docPartUnique/>
      </w:docPartObj>
    </w:sdtPr>
    <w:sdtContent>
      <w:p w14:paraId="13C51C49" w14:textId="77777777" w:rsidR="007C36B8" w:rsidRDefault="00000000" w:rsidP="00E37BB4">
        <w:pPr>
          <w:pStyle w:val="a4"/>
          <w:framePr w:wrap="none" w:vAnchor="text" w:hAnchor="margin" w:xAlign="center" w:y="1"/>
          <w:jc w:val="center"/>
          <w:rPr>
            <w:rStyle w:val="af2"/>
          </w:rPr>
        </w:pPr>
        <w:r w:rsidRPr="00E37BB4">
          <w:rPr>
            <w:rStyle w:val="af2"/>
            <w:sz w:val="20"/>
            <w:szCs w:val="20"/>
          </w:rPr>
          <w:fldChar w:fldCharType="begin"/>
        </w:r>
        <w:r w:rsidRPr="00E37BB4">
          <w:rPr>
            <w:rStyle w:val="af2"/>
            <w:sz w:val="20"/>
            <w:szCs w:val="20"/>
          </w:rPr>
          <w:instrText xml:space="preserve"> PAGE </w:instrText>
        </w:r>
        <w:r w:rsidRPr="00E37BB4">
          <w:rPr>
            <w:rStyle w:val="af2"/>
            <w:sz w:val="20"/>
            <w:szCs w:val="20"/>
          </w:rPr>
          <w:fldChar w:fldCharType="separate"/>
        </w:r>
        <w:r w:rsidRPr="00E37BB4">
          <w:rPr>
            <w:rStyle w:val="af2"/>
            <w:noProof/>
            <w:sz w:val="20"/>
            <w:szCs w:val="20"/>
          </w:rPr>
          <w:t>16</w:t>
        </w:r>
        <w:r w:rsidRPr="00E37BB4">
          <w:rPr>
            <w:rStyle w:val="af2"/>
            <w:sz w:val="20"/>
            <w:szCs w:val="20"/>
          </w:rPr>
          <w:fldChar w:fldCharType="end"/>
        </w:r>
      </w:p>
    </w:sdtContent>
  </w:sdt>
  <w:p w14:paraId="0BDACC2D" w14:textId="6203DC05" w:rsidR="007C36B8" w:rsidRDefault="00000000" w:rsidP="00E37BB4">
    <w:pPr>
      <w:spacing w:after="0" w:line="259" w:lineRule="auto"/>
      <w:ind w:left="0" w:firstLine="0"/>
      <w:jc w:val="left"/>
    </w:pPr>
    <w:r>
      <w:rPr>
        <w:i/>
        <w:sz w:val="20"/>
      </w:rPr>
      <w:t xml:space="preserve">Gaia, </w:t>
    </w:r>
    <w:r w:rsidRPr="00E37BB4">
      <w:rPr>
        <w:iCs/>
        <w:sz w:val="20"/>
      </w:rPr>
      <w:t xml:space="preserve">Volume 1, Issue </w:t>
    </w:r>
    <w:r w:rsidR="00B24C3D">
      <w:rPr>
        <w:iCs/>
        <w:sz w:val="20"/>
      </w:rPr>
      <w:t>3</w:t>
    </w:r>
    <w:r w:rsidR="00897284">
      <w:rPr>
        <w:iCs/>
        <w:sz w:val="20"/>
      </w:rPr>
      <w:t xml:space="preserve"> – the </w:t>
    </w:r>
    <w:r w:rsidR="00B24C3D">
      <w:rPr>
        <w:iCs/>
        <w:sz w:val="20"/>
      </w:rPr>
      <w:t>Health</w:t>
    </w:r>
    <w:r w:rsidR="00897284">
      <w:rPr>
        <w:iCs/>
        <w:sz w:val="20"/>
      </w:rPr>
      <w:t xml:space="preserve"> Spectrum</w:t>
    </w:r>
    <w:r>
      <w:rPr>
        <w:rFonts w:ascii="Times New Roman" w:eastAsia="Times New Roman" w:hAnsi="Times New Roman" w:cs="Times New Roman"/>
      </w:rPr>
      <w:t xml:space="preserve"> </w:t>
    </w:r>
  </w:p>
  <w:p w14:paraId="63D7A1E7" w14:textId="77777777" w:rsidR="007C36B8" w:rsidRDefault="00000000">
    <w:pPr>
      <w:spacing w:after="0" w:line="259" w:lineRule="auto"/>
      <w:ind w:left="345" w:firstLine="0"/>
      <w:jc w:val="center"/>
    </w:pPr>
    <w:r>
      <w:rPr>
        <w:sz w:val="20"/>
      </w:rPr>
      <w:t xml:space="preserve"> </w:t>
    </w:r>
  </w:p>
  <w:p w14:paraId="626B06AA" w14:textId="77777777" w:rsidR="007C36B8" w:rsidRDefault="007C36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3002" w14:textId="77777777" w:rsidR="007C36B8" w:rsidRDefault="007C36B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9A938" w14:textId="77777777" w:rsidR="00187094" w:rsidRDefault="00187094">
      <w:pPr>
        <w:spacing w:after="0" w:line="240" w:lineRule="auto"/>
      </w:pPr>
      <w:r>
        <w:separator/>
      </w:r>
    </w:p>
  </w:footnote>
  <w:footnote w:type="continuationSeparator" w:id="0">
    <w:p w14:paraId="511489EB" w14:textId="77777777" w:rsidR="00187094" w:rsidRDefault="00187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9B4C" w14:textId="77777777" w:rsidR="007C36B8" w:rsidRPr="0023604B" w:rsidRDefault="007C36B8" w:rsidP="00F6395B">
    <w:pPr>
      <w:ind w:left="0" w:firstLine="0"/>
      <w:rPr>
        <w:rStyle w:val="af3"/>
        <w:rFonts w:ascii="Baskerville Old Face" w:hAnsi="Baskerville Old Face"/>
        <w:i w:val="0"/>
        <w:iCs w:val="0"/>
        <w:rtl/>
      </w:rPr>
    </w:pPr>
  </w:p>
  <w:p w14:paraId="16AB9C1C" w14:textId="6832FB6A" w:rsidR="007C36B8" w:rsidRDefault="00B24C3D" w:rsidP="005616C8">
    <w:pPr>
      <w:pBdr>
        <w:bottom w:val="single" w:sz="6" w:space="1" w:color="auto"/>
      </w:pBdr>
      <w:ind w:firstLine="0"/>
      <w:jc w:val="center"/>
      <w:rPr>
        <w:rFonts w:ascii="Baskerville Old Face" w:hAnsi="Baskerville Old Face"/>
      </w:rPr>
    </w:pPr>
    <w:r>
      <w:rPr>
        <w:rStyle w:val="af3"/>
        <w:rFonts w:ascii="Baskerville Old Face" w:hAnsi="Baskerville Old Face"/>
        <w:i w:val="0"/>
        <w:iCs w:val="0"/>
      </w:rPr>
      <w:t>Dacca</w:t>
    </w:r>
    <w:r w:rsidR="00C36620" w:rsidRPr="0023604B">
      <w:rPr>
        <w:rStyle w:val="af3"/>
        <w:rFonts w:ascii="Baskerville Old Face" w:hAnsi="Baskerville Old Face"/>
        <w:i w:val="0"/>
        <w:iCs w:val="0"/>
      </w:rPr>
      <w:t xml:space="preserve">, </w:t>
    </w:r>
    <w:r>
      <w:rPr>
        <w:rStyle w:val="af3"/>
        <w:rFonts w:ascii="Baskerville Old Face" w:hAnsi="Baskerville Old Face"/>
        <w:i w:val="0"/>
        <w:iCs w:val="0"/>
      </w:rPr>
      <w:t>U</w:t>
    </w:r>
    <w:r w:rsidR="00C36620" w:rsidRPr="0023604B">
      <w:rPr>
        <w:rStyle w:val="af3"/>
        <w:rFonts w:ascii="Baskerville Old Face" w:hAnsi="Baskerville Old Face"/>
        <w:i w:val="0"/>
        <w:iCs w:val="0"/>
      </w:rPr>
      <w:t xml:space="preserve">. </w:t>
    </w:r>
    <w:r w:rsidR="00C36620">
      <w:rPr>
        <w:rStyle w:val="af3"/>
        <w:rFonts w:ascii="Baskerville Old Face" w:hAnsi="Baskerville Old Face"/>
        <w:i w:val="0"/>
        <w:iCs w:val="0"/>
      </w:rPr>
      <w:t>(</w:t>
    </w:r>
    <w:r w:rsidR="00C36620" w:rsidRPr="0023604B">
      <w:rPr>
        <w:rStyle w:val="af3"/>
        <w:rFonts w:ascii="Baskerville Old Face" w:hAnsi="Baskerville Old Face"/>
        <w:i w:val="0"/>
        <w:iCs w:val="0"/>
      </w:rPr>
      <w:t>2025</w:t>
    </w:r>
    <w:r w:rsidR="00C36620">
      <w:rPr>
        <w:rStyle w:val="af3"/>
        <w:rFonts w:ascii="Baskerville Old Face" w:hAnsi="Baskerville Old Face"/>
        <w:i w:val="0"/>
        <w:iCs w:val="0"/>
      </w:rPr>
      <w:t>)</w:t>
    </w:r>
    <w:r w:rsidR="00C36620" w:rsidRPr="0023604B">
      <w:rPr>
        <w:rStyle w:val="af3"/>
        <w:rFonts w:ascii="Baskerville Old Face" w:hAnsi="Baskerville Old Face"/>
        <w:i w:val="0"/>
        <w:iCs w:val="0"/>
      </w:rPr>
      <w:t xml:space="preserve">. </w:t>
    </w:r>
    <w:r w:rsidRPr="00B24C3D">
      <w:rPr>
        <w:rStyle w:val="af3"/>
        <w:rFonts w:ascii="Baskerville Old Face" w:hAnsi="Baskerville Old Face"/>
        <w:i w:val="0"/>
        <w:iCs w:val="0"/>
      </w:rPr>
      <w:t>Market Dynamics and Competitive Strategy in the Medical Device Industry: Structure, Innovation, and Powe</w:t>
    </w:r>
    <w:r>
      <w:rPr>
        <w:rStyle w:val="af3"/>
        <w:rFonts w:ascii="Baskerville Old Face" w:hAnsi="Baskerville Old Face"/>
        <w:i w:val="0"/>
        <w:iCs w:val="0"/>
      </w:rPr>
      <w:t>r</w:t>
    </w:r>
    <w:r w:rsidR="00C36620" w:rsidRPr="0023604B">
      <w:rPr>
        <w:rStyle w:val="af3"/>
        <w:rFonts w:ascii="Baskerville Old Face" w:hAnsi="Baskerville Old Face"/>
        <w:i w:val="0"/>
        <w:iCs w:val="0"/>
      </w:rPr>
      <w:t xml:space="preserve">. </w:t>
    </w:r>
    <w:r w:rsidR="00C36620" w:rsidRPr="0023604B">
      <w:rPr>
        <w:rStyle w:val="af3"/>
        <w:rFonts w:ascii="Baskerville Old Face" w:hAnsi="Baskerville Old Face"/>
      </w:rPr>
      <w:t>Gaia, 1</w:t>
    </w:r>
    <w:r w:rsidR="00C36620" w:rsidRPr="0023604B">
      <w:rPr>
        <w:rStyle w:val="af3"/>
        <w:rFonts w:ascii="Baskerville Old Face" w:hAnsi="Baskerville Old Face"/>
        <w:i w:val="0"/>
        <w:iCs w:val="0"/>
      </w:rPr>
      <w:t>(</w:t>
    </w:r>
    <w:r>
      <w:rPr>
        <w:rStyle w:val="af3"/>
        <w:rFonts w:ascii="Baskerville Old Face" w:hAnsi="Baskerville Old Face"/>
        <w:i w:val="0"/>
        <w:iCs w:val="0"/>
      </w:rPr>
      <w:t>3</w:t>
    </w:r>
    <w:r w:rsidR="00897284">
      <w:rPr>
        <w:rStyle w:val="af3"/>
        <w:rFonts w:ascii="Baskerville Old Face" w:hAnsi="Baskerville Old Face"/>
        <w:i w:val="0"/>
        <w:iCs w:val="0"/>
      </w:rPr>
      <w:t xml:space="preserve"> – the </w:t>
    </w:r>
    <w:r>
      <w:rPr>
        <w:rStyle w:val="af3"/>
        <w:rFonts w:ascii="Baskerville Old Face" w:hAnsi="Baskerville Old Face"/>
        <w:i w:val="0"/>
        <w:iCs w:val="0"/>
      </w:rPr>
      <w:t>Health</w:t>
    </w:r>
    <w:r w:rsidR="00897284">
      <w:rPr>
        <w:rStyle w:val="af3"/>
        <w:rFonts w:ascii="Baskerville Old Face" w:hAnsi="Baskerville Old Face"/>
        <w:i w:val="0"/>
        <w:iCs w:val="0"/>
      </w:rPr>
      <w:t xml:space="preserve"> Spectrum), </w:t>
    </w:r>
    <w:r>
      <w:rPr>
        <w:rStyle w:val="af3"/>
        <w:rFonts w:ascii="Baskerville Old Face" w:hAnsi="Baskerville Old Face"/>
        <w:i w:val="0"/>
        <w:iCs w:val="0"/>
      </w:rPr>
      <w:t>205</w:t>
    </w:r>
    <w:r w:rsidR="00897284">
      <w:rPr>
        <w:rStyle w:val="af3"/>
        <w:rFonts w:ascii="Baskerville Old Face" w:hAnsi="Baskerville Old Face" w:hint="cs"/>
        <w:i w:val="0"/>
        <w:iCs w:val="0"/>
        <w:rtl/>
      </w:rPr>
      <w:t>-</w:t>
    </w:r>
    <w:r>
      <w:rPr>
        <w:rStyle w:val="af3"/>
        <w:rFonts w:ascii="Baskerville Old Face" w:hAnsi="Baskerville Old Face"/>
        <w:i w:val="0"/>
        <w:iCs w:val="0"/>
      </w:rPr>
      <w:t>223.</w:t>
    </w:r>
  </w:p>
  <w:p w14:paraId="5090AE6B" w14:textId="77777777" w:rsidR="0040480B" w:rsidRPr="005616C8" w:rsidRDefault="0040480B" w:rsidP="005616C8">
    <w:pPr>
      <w:pBdr>
        <w:bottom w:val="single" w:sz="6" w:space="1" w:color="auto"/>
      </w:pBdr>
      <w:ind w:firstLine="0"/>
      <w:jc w:val="center"/>
      <w:rPr>
        <w:rFonts w:ascii="Baskerville Old Face" w:hAnsi="Baskerville Old Fac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CF0F" w14:textId="77777777" w:rsidR="005616C8" w:rsidRDefault="005616C8" w:rsidP="005616C8">
    <w:pPr>
      <w:pStyle w:val="af0"/>
      <w:jc w:val="center"/>
    </w:pPr>
    <w:r>
      <w:t>Gaia</w:t>
    </w:r>
  </w:p>
  <w:p w14:paraId="39A073DA" w14:textId="77777777" w:rsidR="005616C8" w:rsidRDefault="005616C8" w:rsidP="005616C8">
    <w:pPr>
      <w:pStyle w:val="af0"/>
      <w:jc w:val="center"/>
    </w:pPr>
    <w:r>
      <w:t>Multidisciplinary Academic Journal</w:t>
    </w:r>
  </w:p>
  <w:p w14:paraId="5B894058" w14:textId="77777777" w:rsidR="005616C8" w:rsidRDefault="005616C8" w:rsidP="005616C8">
    <w:pPr>
      <w:pStyle w:val="af0"/>
      <w:jc w:val="center"/>
    </w:pPr>
  </w:p>
  <w:p w14:paraId="3B765B1E" w14:textId="77777777" w:rsidR="005616C8" w:rsidRDefault="005616C8" w:rsidP="005616C8">
    <w:pPr>
      <w:pStyle w:val="af0"/>
      <w:jc w:val="center"/>
    </w:pPr>
    <w:r>
      <w:t>Gaia College – Academy of Applied Sciences and Technology</w:t>
    </w:r>
  </w:p>
  <w:p w14:paraId="46925DFF" w14:textId="77777777" w:rsidR="005616C8" w:rsidRDefault="005616C8" w:rsidP="005616C8">
    <w:pPr>
      <w:pStyle w:val="af0"/>
      <w:jc w:val="center"/>
    </w:pPr>
  </w:p>
  <w:p w14:paraId="782CE024" w14:textId="051193C1" w:rsidR="005616C8" w:rsidRDefault="005616C8" w:rsidP="005616C8">
    <w:pPr>
      <w:pStyle w:val="af0"/>
      <w:jc w:val="center"/>
    </w:pPr>
    <w:r>
      <w:t>GAIA 1(</w:t>
    </w:r>
    <w:r w:rsidR="00B24C3D">
      <w:t>3</w:t>
    </w:r>
    <w:r>
      <w:t xml:space="preserve"> – the </w:t>
    </w:r>
    <w:r w:rsidR="00B24C3D">
      <w:t>Health</w:t>
    </w:r>
    <w:r>
      <w:t xml:space="preserve"> Spectrum</w:t>
    </w:r>
    <w:r w:rsidR="00425737">
      <w:t xml:space="preserve">), </w:t>
    </w:r>
    <w:r w:rsidR="00B24C3D">
      <w:t>205</w:t>
    </w:r>
    <w:r w:rsidR="0040480B">
      <w:t>-</w:t>
    </w:r>
    <w:r w:rsidR="00B24C3D">
      <w:t>2</w:t>
    </w:r>
    <w:r w:rsidR="001B7E27">
      <w:t>2</w:t>
    </w:r>
    <w:r w:rsidR="00B24C3D">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D59"/>
    <w:multiLevelType w:val="multilevel"/>
    <w:tmpl w:val="33049114"/>
    <w:lvl w:ilvl="0">
      <w:start w:val="1"/>
      <w:numFmt w:val="decimal"/>
      <w:lvlText w:val="%1."/>
      <w:lvlJc w:val="left"/>
      <w:pPr>
        <w:ind w:left="630" w:hanging="360"/>
      </w:pPr>
      <w:rPr>
        <w:rFonts w:hint="default"/>
      </w:rPr>
    </w:lvl>
    <w:lvl w:ilvl="1">
      <w:start w:val="1"/>
      <w:numFmt w:val="decimal"/>
      <w:isLgl/>
      <w:lvlText w:val="%1.%2"/>
      <w:lvlJc w:val="left"/>
      <w:pPr>
        <w:ind w:left="650" w:hanging="38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430" w:hanging="2160"/>
      </w:pPr>
      <w:rPr>
        <w:rFonts w:hint="default"/>
      </w:rPr>
    </w:lvl>
  </w:abstractNum>
  <w:abstractNum w:abstractNumId="1" w15:restartNumberingAfterBreak="0">
    <w:nsid w:val="06EB1A2C"/>
    <w:multiLevelType w:val="hybridMultilevel"/>
    <w:tmpl w:val="96385C9E"/>
    <w:lvl w:ilvl="0" w:tplc="A9DCE330">
      <w:start w:val="1"/>
      <w:numFmt w:val="decimal"/>
      <w:lvlText w:val="%1."/>
      <w:lvlJc w:val="left"/>
      <w:pPr>
        <w:ind w:left="65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0D49720">
      <w:start w:val="1"/>
      <w:numFmt w:val="lowerLetter"/>
      <w:lvlText w:val="%2"/>
      <w:lvlJc w:val="left"/>
      <w:pPr>
        <w:ind w:left="136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6A421AA">
      <w:start w:val="1"/>
      <w:numFmt w:val="lowerRoman"/>
      <w:lvlText w:val="%3"/>
      <w:lvlJc w:val="left"/>
      <w:pPr>
        <w:ind w:left="208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2F0B82C">
      <w:start w:val="1"/>
      <w:numFmt w:val="decimal"/>
      <w:lvlText w:val="%4"/>
      <w:lvlJc w:val="left"/>
      <w:pPr>
        <w:ind w:left="280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4DEB44C">
      <w:start w:val="1"/>
      <w:numFmt w:val="lowerLetter"/>
      <w:lvlText w:val="%5"/>
      <w:lvlJc w:val="left"/>
      <w:pPr>
        <w:ind w:left="352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BF0763E">
      <w:start w:val="1"/>
      <w:numFmt w:val="lowerRoman"/>
      <w:lvlText w:val="%6"/>
      <w:lvlJc w:val="left"/>
      <w:pPr>
        <w:ind w:left="424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48AE8BC">
      <w:start w:val="1"/>
      <w:numFmt w:val="decimal"/>
      <w:lvlText w:val="%7"/>
      <w:lvlJc w:val="left"/>
      <w:pPr>
        <w:ind w:left="496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8FA5FB6">
      <w:start w:val="1"/>
      <w:numFmt w:val="lowerLetter"/>
      <w:lvlText w:val="%8"/>
      <w:lvlJc w:val="left"/>
      <w:pPr>
        <w:ind w:left="568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4D23FD4">
      <w:start w:val="1"/>
      <w:numFmt w:val="lowerRoman"/>
      <w:lvlText w:val="%9"/>
      <w:lvlJc w:val="left"/>
      <w:pPr>
        <w:ind w:left="640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776A36"/>
    <w:multiLevelType w:val="multilevel"/>
    <w:tmpl w:val="D7A8F600"/>
    <w:lvl w:ilvl="0">
      <w:start w:val="1"/>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BC1CC7"/>
    <w:multiLevelType w:val="multilevel"/>
    <w:tmpl w:val="760C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07927"/>
    <w:multiLevelType w:val="hybridMultilevel"/>
    <w:tmpl w:val="322ABAE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5" w15:restartNumberingAfterBreak="0">
    <w:nsid w:val="18413A97"/>
    <w:multiLevelType w:val="multilevel"/>
    <w:tmpl w:val="E0DCFD64"/>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A54F53"/>
    <w:multiLevelType w:val="multilevel"/>
    <w:tmpl w:val="449ED88E"/>
    <w:lvl w:ilvl="0">
      <w:start w:val="1"/>
      <w:numFmt w:val="decimal"/>
      <w:lvlText w:val="%1"/>
      <w:lvlJc w:val="left"/>
      <w:pPr>
        <w:ind w:left="443" w:hanging="443"/>
      </w:pPr>
      <w:rPr>
        <w:rFonts w:hint="default"/>
      </w:rPr>
    </w:lvl>
    <w:lvl w:ilvl="1">
      <w:start w:val="1"/>
      <w:numFmt w:val="decimal"/>
      <w:pStyle w:val="a"/>
      <w:lvlText w:val="%1.%2"/>
      <w:lvlJc w:val="left"/>
      <w:pPr>
        <w:ind w:left="587" w:hanging="576"/>
      </w:pPr>
      <w:rPr>
        <w:rFonts w:hint="default"/>
      </w:rPr>
    </w:lvl>
    <w:lvl w:ilvl="2">
      <w:start w:val="1"/>
      <w:numFmt w:val="decimal"/>
      <w:lvlText w:val="%1.%2.%3"/>
      <w:lvlJc w:val="left"/>
      <w:pPr>
        <w:ind w:left="731" w:hanging="720"/>
      </w:pPr>
      <w:rPr>
        <w:rFonts w:hint="default"/>
      </w:rPr>
    </w:lvl>
    <w:lvl w:ilvl="3">
      <w:start w:val="1"/>
      <w:numFmt w:val="decimal"/>
      <w:lvlText w:val="%1.%2.%3.%4"/>
      <w:lvlJc w:val="left"/>
      <w:pPr>
        <w:ind w:left="875" w:hanging="864"/>
      </w:pPr>
      <w:rPr>
        <w:rFonts w:hint="default"/>
      </w:rPr>
    </w:lvl>
    <w:lvl w:ilvl="4">
      <w:start w:val="1"/>
      <w:numFmt w:val="decimal"/>
      <w:lvlText w:val="%1.%2.%3.%4.%5"/>
      <w:lvlJc w:val="left"/>
      <w:pPr>
        <w:ind w:left="1019" w:hanging="1008"/>
      </w:pPr>
      <w:rPr>
        <w:rFonts w:hint="default"/>
      </w:rPr>
    </w:lvl>
    <w:lvl w:ilvl="5">
      <w:start w:val="1"/>
      <w:numFmt w:val="decimal"/>
      <w:lvlText w:val="%1.%2.%3.%4.%5.%6"/>
      <w:lvlJc w:val="left"/>
      <w:pPr>
        <w:ind w:left="1163" w:hanging="1152"/>
      </w:pPr>
      <w:rPr>
        <w:rFonts w:hint="default"/>
      </w:rPr>
    </w:lvl>
    <w:lvl w:ilvl="6">
      <w:start w:val="1"/>
      <w:numFmt w:val="decimal"/>
      <w:lvlText w:val="%1.%2.%3.%4.%5.%6.%7"/>
      <w:lvlJc w:val="left"/>
      <w:pPr>
        <w:ind w:left="1307" w:hanging="1296"/>
      </w:pPr>
      <w:rPr>
        <w:rFonts w:hint="default"/>
      </w:rPr>
    </w:lvl>
    <w:lvl w:ilvl="7">
      <w:start w:val="1"/>
      <w:numFmt w:val="decimal"/>
      <w:lvlText w:val="%1.%2.%3.%4.%5.%6.%7.%8"/>
      <w:lvlJc w:val="left"/>
      <w:pPr>
        <w:ind w:left="1451" w:hanging="1440"/>
      </w:pPr>
      <w:rPr>
        <w:rFonts w:hint="default"/>
      </w:rPr>
    </w:lvl>
    <w:lvl w:ilvl="8">
      <w:start w:val="1"/>
      <w:numFmt w:val="decimal"/>
      <w:lvlText w:val="%1.%2.%3.%4.%5.%6.%7.%8.%9"/>
      <w:lvlJc w:val="left"/>
      <w:pPr>
        <w:ind w:left="1595" w:hanging="1584"/>
      </w:pPr>
      <w:rPr>
        <w:rFonts w:hint="default"/>
      </w:rPr>
    </w:lvl>
  </w:abstractNum>
  <w:abstractNum w:abstractNumId="7" w15:restartNumberingAfterBreak="0">
    <w:nsid w:val="25A6161D"/>
    <w:multiLevelType w:val="multilevel"/>
    <w:tmpl w:val="3094E5A2"/>
    <w:lvl w:ilvl="0">
      <w:start w:val="1"/>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B0228FF"/>
    <w:multiLevelType w:val="hybridMultilevel"/>
    <w:tmpl w:val="E250BD6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2BB45925"/>
    <w:multiLevelType w:val="hybridMultilevel"/>
    <w:tmpl w:val="7034F098"/>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10" w15:restartNumberingAfterBreak="0">
    <w:nsid w:val="2CFC7ED2"/>
    <w:multiLevelType w:val="multilevel"/>
    <w:tmpl w:val="4738A53E"/>
    <w:lvl w:ilvl="0">
      <w:start w:val="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5352E5"/>
    <w:multiLevelType w:val="multilevel"/>
    <w:tmpl w:val="B8D07666"/>
    <w:lvl w:ilvl="0">
      <w:start w:val="1"/>
      <w:numFmt w:val="decimal"/>
      <w:pStyle w:val="1"/>
      <w:lvlText w:val="%1."/>
      <w:lvlJc w:val="left"/>
      <w:pPr>
        <w:ind w:left="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1">
      <w:start w:val="1"/>
      <w:numFmt w:val="decimal"/>
      <w:pStyle w:val="2"/>
      <w:lvlText w:val="%1.%2"/>
      <w:lvlJc w:val="left"/>
      <w:pPr>
        <w:ind w:left="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9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4D749BF"/>
    <w:multiLevelType w:val="hybridMultilevel"/>
    <w:tmpl w:val="E9421BC0"/>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3" w15:restartNumberingAfterBreak="0">
    <w:nsid w:val="36B61857"/>
    <w:multiLevelType w:val="hybridMultilevel"/>
    <w:tmpl w:val="F0D6F85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4" w15:restartNumberingAfterBreak="0">
    <w:nsid w:val="372A7A0F"/>
    <w:multiLevelType w:val="multilevel"/>
    <w:tmpl w:val="77F67654"/>
    <w:lvl w:ilvl="0">
      <w:start w:val="1"/>
      <w:numFmt w:val="decimal"/>
      <w:lvlText w:val="%1."/>
      <w:lvlJc w:val="left"/>
      <w:pPr>
        <w:ind w:left="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1">
      <w:start w:val="1"/>
      <w:numFmt w:val="bullet"/>
      <w:lvlText w:val=""/>
      <w:lvlJc w:val="left"/>
      <w:pPr>
        <w:ind w:left="1005" w:hanging="360"/>
      </w:pPr>
      <w:rPr>
        <w:rFonts w:ascii="Symbol" w:hAnsi="Symbol" w:hint="default"/>
      </w:rPr>
    </w:lvl>
    <w:lvl w:ilvl="2">
      <w:start w:val="1"/>
      <w:numFmt w:val="lowerRoman"/>
      <w:lvlText w:val="%3"/>
      <w:lvlJc w:val="left"/>
      <w:pPr>
        <w:ind w:left="109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7A626A1"/>
    <w:multiLevelType w:val="hybridMultilevel"/>
    <w:tmpl w:val="6838A37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6" w15:restartNumberingAfterBreak="0">
    <w:nsid w:val="3D581CE9"/>
    <w:multiLevelType w:val="multilevel"/>
    <w:tmpl w:val="AEA4523A"/>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894C86"/>
    <w:multiLevelType w:val="multilevel"/>
    <w:tmpl w:val="1318F0BC"/>
    <w:lvl w:ilvl="0">
      <w:start w:val="1"/>
      <w:numFmt w:val="decimal"/>
      <w:lvlText w:val="%1."/>
      <w:lvlJc w:val="left"/>
      <w:pPr>
        <w:ind w:left="760" w:hanging="380"/>
      </w:pPr>
      <w:rPr>
        <w:rFonts w:ascii="Baskerville Old Face" w:eastAsia="Garamond" w:hAnsi="Baskerville Old Face" w:cs="Garamond"/>
      </w:rPr>
    </w:lvl>
    <w:lvl w:ilvl="1">
      <w:start w:val="1"/>
      <w:numFmt w:val="decimal"/>
      <w:lvlText w:val="%1.%2"/>
      <w:lvlJc w:val="left"/>
      <w:pPr>
        <w:ind w:left="760" w:hanging="380"/>
      </w:pPr>
      <w:rPr>
        <w:rFonts w:hint="default"/>
      </w:rPr>
    </w:lvl>
    <w:lvl w:ilvl="2">
      <w:start w:val="1"/>
      <w:numFmt w:val="decimal"/>
      <w:lvlText w:val="%1.%2.%3"/>
      <w:lvlJc w:val="left"/>
      <w:pPr>
        <w:ind w:left="1100" w:hanging="720"/>
      </w:pPr>
      <w:rPr>
        <w:rFonts w:hint="default"/>
      </w:rPr>
    </w:lvl>
    <w:lvl w:ilvl="3">
      <w:start w:val="1"/>
      <w:numFmt w:val="decimal"/>
      <w:lvlText w:val="%1.%2.%3.%4"/>
      <w:lvlJc w:val="left"/>
      <w:pPr>
        <w:ind w:left="1460" w:hanging="1080"/>
      </w:pPr>
      <w:rPr>
        <w:rFonts w:hint="default"/>
      </w:rPr>
    </w:lvl>
    <w:lvl w:ilvl="4">
      <w:start w:val="1"/>
      <w:numFmt w:val="decimal"/>
      <w:lvlText w:val="%1.%2.%3.%4.%5"/>
      <w:lvlJc w:val="left"/>
      <w:pPr>
        <w:ind w:left="1460" w:hanging="1080"/>
      </w:pPr>
      <w:rPr>
        <w:rFonts w:hint="default"/>
      </w:rPr>
    </w:lvl>
    <w:lvl w:ilvl="5">
      <w:start w:val="1"/>
      <w:numFmt w:val="decimal"/>
      <w:lvlText w:val="%1.%2.%3.%4.%5.%6"/>
      <w:lvlJc w:val="left"/>
      <w:pPr>
        <w:ind w:left="1820" w:hanging="1440"/>
      </w:pPr>
      <w:rPr>
        <w:rFonts w:hint="default"/>
      </w:rPr>
    </w:lvl>
    <w:lvl w:ilvl="6">
      <w:start w:val="1"/>
      <w:numFmt w:val="decimal"/>
      <w:lvlText w:val="%1.%2.%3.%4.%5.%6.%7"/>
      <w:lvlJc w:val="left"/>
      <w:pPr>
        <w:ind w:left="1820" w:hanging="1440"/>
      </w:pPr>
      <w:rPr>
        <w:rFonts w:hint="default"/>
      </w:rPr>
    </w:lvl>
    <w:lvl w:ilvl="7">
      <w:start w:val="1"/>
      <w:numFmt w:val="decimal"/>
      <w:lvlText w:val="%1.%2.%3.%4.%5.%6.%7.%8"/>
      <w:lvlJc w:val="left"/>
      <w:pPr>
        <w:ind w:left="2180" w:hanging="1800"/>
      </w:pPr>
      <w:rPr>
        <w:rFonts w:hint="default"/>
      </w:rPr>
    </w:lvl>
    <w:lvl w:ilvl="8">
      <w:start w:val="1"/>
      <w:numFmt w:val="decimal"/>
      <w:lvlText w:val="%1.%2.%3.%4.%5.%6.%7.%8.%9"/>
      <w:lvlJc w:val="left"/>
      <w:pPr>
        <w:ind w:left="2540" w:hanging="2160"/>
      </w:pPr>
      <w:rPr>
        <w:rFonts w:hint="default"/>
      </w:rPr>
    </w:lvl>
  </w:abstractNum>
  <w:abstractNum w:abstractNumId="18" w15:restartNumberingAfterBreak="0">
    <w:nsid w:val="432C3F18"/>
    <w:multiLevelType w:val="hybridMultilevel"/>
    <w:tmpl w:val="5212DFC6"/>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9" w15:restartNumberingAfterBreak="0">
    <w:nsid w:val="43D876D6"/>
    <w:multiLevelType w:val="multilevel"/>
    <w:tmpl w:val="A0AC7854"/>
    <w:lvl w:ilvl="0">
      <w:start w:val="1"/>
      <w:numFmt w:val="decimal"/>
      <w:lvlText w:val="%1"/>
      <w:lvlJc w:val="left"/>
      <w:pPr>
        <w:ind w:left="36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05"/>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6C65887"/>
    <w:multiLevelType w:val="multilevel"/>
    <w:tmpl w:val="D368FDFA"/>
    <w:lvl w:ilvl="0">
      <w:start w:val="1"/>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7ED0E86"/>
    <w:multiLevelType w:val="hybridMultilevel"/>
    <w:tmpl w:val="DBD4FA3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2" w15:restartNumberingAfterBreak="0">
    <w:nsid w:val="4BBA6DD3"/>
    <w:multiLevelType w:val="multilevel"/>
    <w:tmpl w:val="01567D82"/>
    <w:lvl w:ilvl="0">
      <w:start w:val="1"/>
      <w:numFmt w:val="decimal"/>
      <w:lvlText w:val="%1"/>
      <w:lvlJc w:val="left"/>
      <w:pPr>
        <w:ind w:left="380" w:hanging="380"/>
      </w:pPr>
      <w:rPr>
        <w:rFonts w:hint="default"/>
      </w:rPr>
    </w:lvl>
    <w:lvl w:ilvl="1">
      <w:start w:val="2"/>
      <w:numFmt w:val="decimal"/>
      <w:lvlText w:val="%1.%2"/>
      <w:lvlJc w:val="left"/>
      <w:pPr>
        <w:ind w:left="760" w:hanging="38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2220" w:hanging="108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23" w15:restartNumberingAfterBreak="0">
    <w:nsid w:val="4C2869EB"/>
    <w:multiLevelType w:val="hybridMultilevel"/>
    <w:tmpl w:val="6C660072"/>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24" w15:restartNumberingAfterBreak="0">
    <w:nsid w:val="4F901AA4"/>
    <w:multiLevelType w:val="hybridMultilevel"/>
    <w:tmpl w:val="9A2AE276"/>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5" w15:restartNumberingAfterBreak="0">
    <w:nsid w:val="4FC87B56"/>
    <w:multiLevelType w:val="hybridMultilevel"/>
    <w:tmpl w:val="DF7A0AA0"/>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6" w15:restartNumberingAfterBreak="0">
    <w:nsid w:val="531B7208"/>
    <w:multiLevelType w:val="hybridMultilevel"/>
    <w:tmpl w:val="CFB261D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7" w15:restartNumberingAfterBreak="0">
    <w:nsid w:val="5523752C"/>
    <w:multiLevelType w:val="hybridMultilevel"/>
    <w:tmpl w:val="B204EC0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8" w15:restartNumberingAfterBreak="0">
    <w:nsid w:val="58143910"/>
    <w:multiLevelType w:val="hybridMultilevel"/>
    <w:tmpl w:val="C2DE5E9E"/>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29" w15:restartNumberingAfterBreak="0">
    <w:nsid w:val="615849A7"/>
    <w:multiLevelType w:val="hybridMultilevel"/>
    <w:tmpl w:val="8E02648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0" w15:restartNumberingAfterBreak="0">
    <w:nsid w:val="63352B00"/>
    <w:multiLevelType w:val="multilevel"/>
    <w:tmpl w:val="1318F0BC"/>
    <w:lvl w:ilvl="0">
      <w:start w:val="1"/>
      <w:numFmt w:val="decimal"/>
      <w:lvlText w:val="%1."/>
      <w:lvlJc w:val="left"/>
      <w:pPr>
        <w:ind w:left="760" w:hanging="380"/>
      </w:pPr>
      <w:rPr>
        <w:rFonts w:ascii="Baskerville Old Face" w:eastAsia="Garamond" w:hAnsi="Baskerville Old Face" w:cs="Garamond"/>
      </w:rPr>
    </w:lvl>
    <w:lvl w:ilvl="1">
      <w:start w:val="1"/>
      <w:numFmt w:val="decimal"/>
      <w:lvlText w:val="%1.%2"/>
      <w:lvlJc w:val="left"/>
      <w:pPr>
        <w:ind w:left="760" w:hanging="380"/>
      </w:pPr>
      <w:rPr>
        <w:rFonts w:hint="default"/>
      </w:rPr>
    </w:lvl>
    <w:lvl w:ilvl="2">
      <w:start w:val="1"/>
      <w:numFmt w:val="decimal"/>
      <w:lvlText w:val="%1.%2.%3"/>
      <w:lvlJc w:val="left"/>
      <w:pPr>
        <w:ind w:left="1100" w:hanging="720"/>
      </w:pPr>
      <w:rPr>
        <w:rFonts w:hint="default"/>
      </w:rPr>
    </w:lvl>
    <w:lvl w:ilvl="3">
      <w:start w:val="1"/>
      <w:numFmt w:val="decimal"/>
      <w:lvlText w:val="%1.%2.%3.%4"/>
      <w:lvlJc w:val="left"/>
      <w:pPr>
        <w:ind w:left="1460" w:hanging="1080"/>
      </w:pPr>
      <w:rPr>
        <w:rFonts w:hint="default"/>
      </w:rPr>
    </w:lvl>
    <w:lvl w:ilvl="4">
      <w:start w:val="1"/>
      <w:numFmt w:val="decimal"/>
      <w:lvlText w:val="%1.%2.%3.%4.%5"/>
      <w:lvlJc w:val="left"/>
      <w:pPr>
        <w:ind w:left="1460" w:hanging="1080"/>
      </w:pPr>
      <w:rPr>
        <w:rFonts w:hint="default"/>
      </w:rPr>
    </w:lvl>
    <w:lvl w:ilvl="5">
      <w:start w:val="1"/>
      <w:numFmt w:val="decimal"/>
      <w:lvlText w:val="%1.%2.%3.%4.%5.%6"/>
      <w:lvlJc w:val="left"/>
      <w:pPr>
        <w:ind w:left="1820" w:hanging="1440"/>
      </w:pPr>
      <w:rPr>
        <w:rFonts w:hint="default"/>
      </w:rPr>
    </w:lvl>
    <w:lvl w:ilvl="6">
      <w:start w:val="1"/>
      <w:numFmt w:val="decimal"/>
      <w:lvlText w:val="%1.%2.%3.%4.%5.%6.%7"/>
      <w:lvlJc w:val="left"/>
      <w:pPr>
        <w:ind w:left="1820" w:hanging="1440"/>
      </w:pPr>
      <w:rPr>
        <w:rFonts w:hint="default"/>
      </w:rPr>
    </w:lvl>
    <w:lvl w:ilvl="7">
      <w:start w:val="1"/>
      <w:numFmt w:val="decimal"/>
      <w:lvlText w:val="%1.%2.%3.%4.%5.%6.%7.%8"/>
      <w:lvlJc w:val="left"/>
      <w:pPr>
        <w:ind w:left="2180" w:hanging="1800"/>
      </w:pPr>
      <w:rPr>
        <w:rFonts w:hint="default"/>
      </w:rPr>
    </w:lvl>
    <w:lvl w:ilvl="8">
      <w:start w:val="1"/>
      <w:numFmt w:val="decimal"/>
      <w:lvlText w:val="%1.%2.%3.%4.%5.%6.%7.%8.%9"/>
      <w:lvlJc w:val="left"/>
      <w:pPr>
        <w:ind w:left="2540" w:hanging="2160"/>
      </w:pPr>
      <w:rPr>
        <w:rFonts w:hint="default"/>
      </w:rPr>
    </w:lvl>
  </w:abstractNum>
  <w:abstractNum w:abstractNumId="31" w15:restartNumberingAfterBreak="0">
    <w:nsid w:val="703876EF"/>
    <w:multiLevelType w:val="hybridMultilevel"/>
    <w:tmpl w:val="EC5AE13A"/>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32" w15:restartNumberingAfterBreak="0">
    <w:nsid w:val="707A36C8"/>
    <w:multiLevelType w:val="hybridMultilevel"/>
    <w:tmpl w:val="5C2A5386"/>
    <w:lvl w:ilvl="0" w:tplc="F17EFA3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3" w15:restartNumberingAfterBreak="0">
    <w:nsid w:val="7E59748D"/>
    <w:multiLevelType w:val="hybridMultilevel"/>
    <w:tmpl w:val="3248691A"/>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hint="default"/>
      </w:rPr>
    </w:lvl>
    <w:lvl w:ilvl="8" w:tplc="04090005" w:tentative="1">
      <w:start w:val="1"/>
      <w:numFmt w:val="bullet"/>
      <w:lvlText w:val=""/>
      <w:lvlJc w:val="left"/>
      <w:pPr>
        <w:ind w:left="6746" w:hanging="360"/>
      </w:pPr>
      <w:rPr>
        <w:rFonts w:ascii="Wingdings" w:hAnsi="Wingdings" w:hint="default"/>
      </w:rPr>
    </w:lvl>
  </w:abstractNum>
  <w:num w:numId="1" w16cid:durableId="868374687">
    <w:abstractNumId w:val="11"/>
  </w:num>
  <w:num w:numId="2" w16cid:durableId="969165245">
    <w:abstractNumId w:val="6"/>
  </w:num>
  <w:num w:numId="3" w16cid:durableId="521748436">
    <w:abstractNumId w:val="11"/>
  </w:num>
  <w:num w:numId="4" w16cid:durableId="863708841">
    <w:abstractNumId w:val="11"/>
  </w:num>
  <w:num w:numId="5" w16cid:durableId="700320385">
    <w:abstractNumId w:val="1"/>
  </w:num>
  <w:num w:numId="6" w16cid:durableId="1170026597">
    <w:abstractNumId w:val="19"/>
  </w:num>
  <w:num w:numId="7" w16cid:durableId="1257977881">
    <w:abstractNumId w:val="0"/>
  </w:num>
  <w:num w:numId="8" w16cid:durableId="2055495479">
    <w:abstractNumId w:val="7"/>
  </w:num>
  <w:num w:numId="9" w16cid:durableId="67580165">
    <w:abstractNumId w:val="2"/>
  </w:num>
  <w:num w:numId="10" w16cid:durableId="889994927">
    <w:abstractNumId w:val="22"/>
  </w:num>
  <w:num w:numId="11" w16cid:durableId="251743880">
    <w:abstractNumId w:val="20"/>
  </w:num>
  <w:num w:numId="12" w16cid:durableId="1443694349">
    <w:abstractNumId w:val="5"/>
  </w:num>
  <w:num w:numId="13" w16cid:durableId="2109737723">
    <w:abstractNumId w:val="16"/>
  </w:num>
  <w:num w:numId="14" w16cid:durableId="1727726078">
    <w:abstractNumId w:val="10"/>
  </w:num>
  <w:num w:numId="15" w16cid:durableId="1544096253">
    <w:abstractNumId w:val="30"/>
  </w:num>
  <w:num w:numId="16" w16cid:durableId="733283742">
    <w:abstractNumId w:val="17"/>
  </w:num>
  <w:num w:numId="17" w16cid:durableId="837233008">
    <w:abstractNumId w:val="28"/>
  </w:num>
  <w:num w:numId="18" w16cid:durableId="633681841">
    <w:abstractNumId w:val="12"/>
  </w:num>
  <w:num w:numId="19" w16cid:durableId="1777287667">
    <w:abstractNumId w:val="27"/>
  </w:num>
  <w:num w:numId="20" w16cid:durableId="1229344989">
    <w:abstractNumId w:val="32"/>
  </w:num>
  <w:num w:numId="21" w16cid:durableId="791443905">
    <w:abstractNumId w:val="15"/>
  </w:num>
  <w:num w:numId="22" w16cid:durableId="386152125">
    <w:abstractNumId w:val="13"/>
  </w:num>
  <w:num w:numId="23" w16cid:durableId="1352803967">
    <w:abstractNumId w:val="33"/>
  </w:num>
  <w:num w:numId="24" w16cid:durableId="1371416036">
    <w:abstractNumId w:val="23"/>
  </w:num>
  <w:num w:numId="25" w16cid:durableId="572812311">
    <w:abstractNumId w:val="31"/>
  </w:num>
  <w:num w:numId="26" w16cid:durableId="55013395">
    <w:abstractNumId w:val="24"/>
  </w:num>
  <w:num w:numId="27" w16cid:durableId="17438126">
    <w:abstractNumId w:val="3"/>
  </w:num>
  <w:num w:numId="28" w16cid:durableId="2140608801">
    <w:abstractNumId w:val="21"/>
  </w:num>
  <w:num w:numId="29" w16cid:durableId="709915272">
    <w:abstractNumId w:val="4"/>
  </w:num>
  <w:num w:numId="30" w16cid:durableId="2125032337">
    <w:abstractNumId w:val="29"/>
  </w:num>
  <w:num w:numId="31" w16cid:durableId="1813017172">
    <w:abstractNumId w:val="18"/>
  </w:num>
  <w:num w:numId="32" w16cid:durableId="1143352256">
    <w:abstractNumId w:val="9"/>
  </w:num>
  <w:num w:numId="33" w16cid:durableId="1697197197">
    <w:abstractNumId w:val="26"/>
  </w:num>
  <w:num w:numId="34" w16cid:durableId="276303629">
    <w:abstractNumId w:val="8"/>
  </w:num>
  <w:num w:numId="35" w16cid:durableId="313533664">
    <w:abstractNumId w:val="25"/>
  </w:num>
  <w:num w:numId="36" w16cid:durableId="18306330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6F"/>
    <w:rsid w:val="000070D0"/>
    <w:rsid w:val="000766AA"/>
    <w:rsid w:val="000A6F3F"/>
    <w:rsid w:val="00135A08"/>
    <w:rsid w:val="00187094"/>
    <w:rsid w:val="001B7E27"/>
    <w:rsid w:val="001D6B2B"/>
    <w:rsid w:val="00216655"/>
    <w:rsid w:val="0033426E"/>
    <w:rsid w:val="00354108"/>
    <w:rsid w:val="00372E42"/>
    <w:rsid w:val="0040480B"/>
    <w:rsid w:val="00425737"/>
    <w:rsid w:val="00486A80"/>
    <w:rsid w:val="005616C8"/>
    <w:rsid w:val="00581521"/>
    <w:rsid w:val="005E4FEE"/>
    <w:rsid w:val="005E536A"/>
    <w:rsid w:val="00691230"/>
    <w:rsid w:val="006C283B"/>
    <w:rsid w:val="00766333"/>
    <w:rsid w:val="007C36B8"/>
    <w:rsid w:val="007D7459"/>
    <w:rsid w:val="00811F6F"/>
    <w:rsid w:val="0084131F"/>
    <w:rsid w:val="00897284"/>
    <w:rsid w:val="008D1AAD"/>
    <w:rsid w:val="00952136"/>
    <w:rsid w:val="00983DD7"/>
    <w:rsid w:val="009A631F"/>
    <w:rsid w:val="00A10EC8"/>
    <w:rsid w:val="00A2195B"/>
    <w:rsid w:val="00A5634C"/>
    <w:rsid w:val="00A82A87"/>
    <w:rsid w:val="00AA0099"/>
    <w:rsid w:val="00AB00DD"/>
    <w:rsid w:val="00AC33D0"/>
    <w:rsid w:val="00AC6515"/>
    <w:rsid w:val="00AE5D00"/>
    <w:rsid w:val="00B24C3D"/>
    <w:rsid w:val="00BA2BCE"/>
    <w:rsid w:val="00BC086A"/>
    <w:rsid w:val="00C27DE7"/>
    <w:rsid w:val="00C3050A"/>
    <w:rsid w:val="00C36620"/>
    <w:rsid w:val="00C40B38"/>
    <w:rsid w:val="00C67820"/>
    <w:rsid w:val="00DE1567"/>
    <w:rsid w:val="00E02F96"/>
    <w:rsid w:val="00E234DE"/>
    <w:rsid w:val="00F237C3"/>
    <w:rsid w:val="00F40CB0"/>
    <w:rsid w:val="00F4266F"/>
    <w:rsid w:val="00F6395B"/>
    <w:rsid w:val="00F775BE"/>
    <w:rsid w:val="00FA1418"/>
    <w:rsid w:val="00FA647B"/>
    <w:rsid w:val="00FF1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6137"/>
  <w15:chartTrackingRefBased/>
  <w15:docId w15:val="{BE416683-A7F3-A742-82B9-41E662C1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aramond" w:hAnsiTheme="minorHAnsi" w:cstheme="minorBidi"/>
        <w:kern w:val="2"/>
        <w:sz w:val="24"/>
        <w:szCs w:val="24"/>
        <w:lang w:val="en-US" w:eastAsia="en-US" w:bidi="he-IL"/>
        <w14:ligatures w14:val="standardContextual"/>
      </w:rPr>
    </w:rPrDefault>
    <w:pPrDefault>
      <w:pPr>
        <w:spacing w:after="24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GAJ APA"/>
    <w:qFormat/>
    <w:rsid w:val="00354108"/>
    <w:pPr>
      <w:spacing w:after="2" w:line="248" w:lineRule="auto"/>
      <w:ind w:left="11" w:firstLine="274"/>
    </w:pPr>
    <w:rPr>
      <w:rFonts w:ascii="Garamond" w:hAnsi="Garamond" w:cs="Garamond"/>
      <w:color w:val="000000"/>
    </w:rPr>
  </w:style>
  <w:style w:type="paragraph" w:styleId="1">
    <w:name w:val="heading 1"/>
    <w:basedOn w:val="a0"/>
    <w:next w:val="a0"/>
    <w:link w:val="10"/>
    <w:uiPriority w:val="9"/>
    <w:qFormat/>
    <w:rsid w:val="00FF16BA"/>
    <w:pPr>
      <w:keepNext/>
      <w:keepLines/>
      <w:numPr>
        <w:numId w:val="4"/>
      </w:numPr>
      <w:spacing w:before="360" w:after="80"/>
      <w:outlineLvl w:val="0"/>
    </w:pPr>
    <w:rPr>
      <w:rFonts w:asciiTheme="majorHAnsi" w:eastAsiaTheme="majorEastAsia" w:hAnsiTheme="majorHAnsi"/>
      <w:color w:val="0F4761" w:themeColor="accent1" w:themeShade="BF"/>
      <w:sz w:val="40"/>
      <w:szCs w:val="40"/>
    </w:rPr>
  </w:style>
  <w:style w:type="paragraph" w:styleId="2">
    <w:name w:val="heading 2"/>
    <w:basedOn w:val="a0"/>
    <w:next w:val="a0"/>
    <w:link w:val="20"/>
    <w:uiPriority w:val="9"/>
    <w:unhideWhenUsed/>
    <w:qFormat/>
    <w:rsid w:val="00FF16BA"/>
    <w:pPr>
      <w:keepNext/>
      <w:keepLines/>
      <w:numPr>
        <w:ilvl w:val="1"/>
        <w:numId w:val="4"/>
      </w:numPr>
      <w:spacing w:before="160" w:after="80"/>
      <w:outlineLvl w:val="1"/>
    </w:pPr>
    <w:rPr>
      <w:rFonts w:asciiTheme="majorHAnsi" w:eastAsiaTheme="majorEastAsia" w:hAnsiTheme="majorHAnsi"/>
      <w:color w:val="0F4761" w:themeColor="accent1" w:themeShade="BF"/>
      <w:sz w:val="32"/>
      <w:szCs w:val="32"/>
    </w:rPr>
  </w:style>
  <w:style w:type="paragraph" w:styleId="3">
    <w:name w:val="heading 3"/>
    <w:basedOn w:val="a0"/>
    <w:next w:val="a0"/>
    <w:link w:val="30"/>
    <w:uiPriority w:val="9"/>
    <w:unhideWhenUsed/>
    <w:qFormat/>
    <w:rsid w:val="00E234DE"/>
    <w:pPr>
      <w:keepNext/>
      <w:keepLines/>
      <w:spacing w:before="160" w:after="80"/>
      <w:outlineLvl w:val="2"/>
    </w:pPr>
    <w:rPr>
      <w:rFonts w:ascii="American Typewriter Light" w:eastAsiaTheme="majorEastAsia" w:hAnsi="American Typewriter Light"/>
      <w:color w:val="0F4761" w:themeColor="accent1" w:themeShade="BF"/>
    </w:rPr>
  </w:style>
  <w:style w:type="paragraph" w:styleId="4">
    <w:name w:val="heading 4"/>
    <w:basedOn w:val="a0"/>
    <w:next w:val="a0"/>
    <w:link w:val="40"/>
    <w:uiPriority w:val="9"/>
    <w:semiHidden/>
    <w:unhideWhenUsed/>
    <w:qFormat/>
    <w:rsid w:val="00354108"/>
    <w:pPr>
      <w:keepNext/>
      <w:keepLines/>
      <w:spacing w:before="80" w:after="40"/>
      <w:outlineLvl w:val="3"/>
    </w:pPr>
    <w:rPr>
      <w:rFonts w:asciiTheme="minorHAnsi" w:eastAsiaTheme="majorEastAsia" w:hAnsiTheme="minorHAnsi"/>
      <w:i/>
      <w:iCs/>
      <w:color w:val="0F4761" w:themeColor="accent1" w:themeShade="BF"/>
    </w:rPr>
  </w:style>
  <w:style w:type="paragraph" w:styleId="5">
    <w:name w:val="heading 5"/>
    <w:basedOn w:val="a0"/>
    <w:next w:val="a0"/>
    <w:link w:val="50"/>
    <w:uiPriority w:val="9"/>
    <w:semiHidden/>
    <w:unhideWhenUsed/>
    <w:qFormat/>
    <w:rsid w:val="00354108"/>
    <w:pPr>
      <w:keepNext/>
      <w:keepLines/>
      <w:spacing w:before="80" w:after="40"/>
      <w:outlineLvl w:val="4"/>
    </w:pPr>
    <w:rPr>
      <w:rFonts w:asciiTheme="minorHAnsi" w:eastAsiaTheme="majorEastAsia" w:hAnsiTheme="minorHAnsi"/>
      <w:color w:val="0F4761" w:themeColor="accent1" w:themeShade="BF"/>
    </w:rPr>
  </w:style>
  <w:style w:type="paragraph" w:styleId="6">
    <w:name w:val="heading 6"/>
    <w:basedOn w:val="a0"/>
    <w:next w:val="a0"/>
    <w:link w:val="60"/>
    <w:uiPriority w:val="9"/>
    <w:semiHidden/>
    <w:unhideWhenUsed/>
    <w:qFormat/>
    <w:rsid w:val="00354108"/>
    <w:pPr>
      <w:keepNext/>
      <w:keepLines/>
      <w:spacing w:before="40" w:after="0"/>
      <w:outlineLvl w:val="5"/>
    </w:pPr>
    <w:rPr>
      <w:rFonts w:asciiTheme="minorHAnsi" w:eastAsiaTheme="majorEastAsia" w:hAnsiTheme="minorHAnsi"/>
      <w:i/>
      <w:iCs/>
      <w:color w:val="595959" w:themeColor="text1" w:themeTint="A6"/>
    </w:rPr>
  </w:style>
  <w:style w:type="paragraph" w:styleId="7">
    <w:name w:val="heading 7"/>
    <w:basedOn w:val="a0"/>
    <w:next w:val="a0"/>
    <w:link w:val="70"/>
    <w:uiPriority w:val="9"/>
    <w:semiHidden/>
    <w:unhideWhenUsed/>
    <w:qFormat/>
    <w:rsid w:val="00354108"/>
    <w:pPr>
      <w:keepNext/>
      <w:keepLines/>
      <w:spacing w:before="40" w:after="0"/>
      <w:outlineLvl w:val="6"/>
    </w:pPr>
    <w:rPr>
      <w:rFonts w:asciiTheme="minorHAnsi" w:eastAsiaTheme="majorEastAsia" w:hAnsiTheme="minorHAnsi"/>
      <w:color w:val="595959" w:themeColor="text1" w:themeTint="A6"/>
    </w:rPr>
  </w:style>
  <w:style w:type="paragraph" w:styleId="8">
    <w:name w:val="heading 8"/>
    <w:basedOn w:val="a0"/>
    <w:next w:val="a0"/>
    <w:link w:val="80"/>
    <w:uiPriority w:val="9"/>
    <w:semiHidden/>
    <w:unhideWhenUsed/>
    <w:qFormat/>
    <w:rsid w:val="00354108"/>
    <w:pPr>
      <w:keepNext/>
      <w:keepLines/>
      <w:spacing w:after="0"/>
      <w:outlineLvl w:val="7"/>
    </w:pPr>
    <w:rPr>
      <w:rFonts w:asciiTheme="minorHAnsi" w:eastAsiaTheme="majorEastAsia" w:hAnsiTheme="minorHAnsi"/>
      <w:i/>
      <w:iCs/>
      <w:color w:val="272727" w:themeColor="text1" w:themeTint="D8"/>
    </w:rPr>
  </w:style>
  <w:style w:type="paragraph" w:styleId="9">
    <w:name w:val="heading 9"/>
    <w:basedOn w:val="a0"/>
    <w:next w:val="a0"/>
    <w:link w:val="90"/>
    <w:uiPriority w:val="9"/>
    <w:semiHidden/>
    <w:unhideWhenUsed/>
    <w:qFormat/>
    <w:rsid w:val="00354108"/>
    <w:pPr>
      <w:keepNext/>
      <w:keepLines/>
      <w:spacing w:after="0"/>
      <w:outlineLvl w:val="8"/>
    </w:pPr>
    <w:rPr>
      <w:rFonts w:asciiTheme="minorHAnsi" w:eastAsiaTheme="majorEastAsia" w:hAnsiTheme="minorHAns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GaiaAcademicJournal">
    <w:name w:val="Gaia Academic Journal"/>
    <w:basedOn w:val="a0"/>
    <w:autoRedefine/>
    <w:qFormat/>
    <w:rsid w:val="00FA647B"/>
    <w:pPr>
      <w:pBdr>
        <w:top w:val="single" w:sz="4" w:space="0" w:color="000000"/>
        <w:left w:val="single" w:sz="4" w:space="0" w:color="000000"/>
        <w:bottom w:val="single" w:sz="4" w:space="0" w:color="000000"/>
        <w:right w:val="single" w:sz="4" w:space="0" w:color="000000"/>
      </w:pBdr>
      <w:spacing w:after="58" w:line="241" w:lineRule="auto"/>
      <w:ind w:left="160" w:firstLine="0"/>
      <w:jc w:val="center"/>
    </w:pPr>
  </w:style>
  <w:style w:type="paragraph" w:customStyle="1" w:styleId="11">
    <w:name w:val="סגנון1"/>
    <w:basedOn w:val="a0"/>
    <w:qFormat/>
    <w:rsid w:val="00BA2BCE"/>
    <w:pPr>
      <w:keepNext/>
      <w:keepLines/>
      <w:spacing w:after="173" w:line="259" w:lineRule="auto"/>
      <w:ind w:left="563" w:hanging="567"/>
      <w:outlineLvl w:val="0"/>
    </w:pPr>
    <w:rPr>
      <w:b/>
      <w:sz w:val="28"/>
    </w:rPr>
  </w:style>
  <w:style w:type="paragraph" w:customStyle="1" w:styleId="GAIAnormal">
    <w:name w:val="GAIA normal"/>
    <w:basedOn w:val="a0"/>
    <w:autoRedefine/>
    <w:qFormat/>
    <w:rsid w:val="00FF16BA"/>
    <w:pPr>
      <w:spacing w:before="240" w:after="242"/>
      <w:ind w:left="-4"/>
    </w:pPr>
    <w:rPr>
      <w:rFonts w:cs="Baskerville Old Face"/>
    </w:rPr>
  </w:style>
  <w:style w:type="paragraph" w:customStyle="1" w:styleId="GAIAACJ1stlevel">
    <w:name w:val="GAIA ACJ 1st level"/>
    <w:basedOn w:val="a0"/>
    <w:autoRedefine/>
    <w:qFormat/>
    <w:rsid w:val="00BA2BCE"/>
    <w:pPr>
      <w:keepNext/>
      <w:keepLines/>
      <w:spacing w:after="173" w:line="259" w:lineRule="auto"/>
      <w:ind w:left="563" w:hanging="567"/>
      <w:outlineLvl w:val="0"/>
    </w:pPr>
    <w:rPr>
      <w:rFonts w:asciiTheme="majorBidi" w:hAnsiTheme="majorBidi"/>
      <w:b/>
      <w:bCs/>
      <w:sz w:val="27"/>
      <w:szCs w:val="27"/>
    </w:rPr>
  </w:style>
  <w:style w:type="paragraph" w:customStyle="1" w:styleId="GAIAACJ2ndlevel">
    <w:name w:val="GAIA ACJ 2nd level"/>
    <w:basedOn w:val="a0"/>
    <w:autoRedefine/>
    <w:qFormat/>
    <w:rsid w:val="00BA2BCE"/>
    <w:pPr>
      <w:keepNext/>
      <w:keepLines/>
      <w:spacing w:after="173" w:line="259" w:lineRule="auto"/>
      <w:ind w:left="563" w:hanging="567"/>
      <w:outlineLvl w:val="0"/>
    </w:pPr>
    <w:rPr>
      <w:rFonts w:asciiTheme="majorBidi" w:hAnsiTheme="majorBidi"/>
      <w:b/>
      <w:bCs/>
    </w:rPr>
  </w:style>
  <w:style w:type="paragraph" w:customStyle="1" w:styleId="GAIAACJsub">
    <w:name w:val="GAIA ACJ sub"/>
    <w:basedOn w:val="a4"/>
    <w:autoRedefine/>
    <w:qFormat/>
    <w:rsid w:val="00BA2BCE"/>
    <w:pPr>
      <w:jc w:val="center"/>
    </w:pPr>
    <w:rPr>
      <w:rFonts w:asciiTheme="majorBidi" w:hAnsiTheme="majorBidi"/>
      <w:sz w:val="36"/>
      <w:szCs w:val="36"/>
    </w:rPr>
  </w:style>
  <w:style w:type="paragraph" w:styleId="a4">
    <w:name w:val="footer"/>
    <w:basedOn w:val="a0"/>
    <w:link w:val="a5"/>
    <w:uiPriority w:val="99"/>
    <w:semiHidden/>
    <w:unhideWhenUsed/>
    <w:rsid w:val="00BA2BCE"/>
    <w:pPr>
      <w:tabs>
        <w:tab w:val="center" w:pos="4153"/>
        <w:tab w:val="right" w:pos="8306"/>
      </w:tabs>
      <w:spacing w:after="0"/>
    </w:pPr>
  </w:style>
  <w:style w:type="character" w:customStyle="1" w:styleId="a5">
    <w:name w:val="כותרת תחתונה תו"/>
    <w:basedOn w:val="a1"/>
    <w:link w:val="a4"/>
    <w:uiPriority w:val="99"/>
    <w:semiHidden/>
    <w:rsid w:val="00BA2BCE"/>
  </w:style>
  <w:style w:type="paragraph" w:customStyle="1" w:styleId="GAIAACJEMAIL">
    <w:name w:val="GAIA ACJ EMAIL"/>
    <w:basedOn w:val="a0"/>
    <w:autoRedefine/>
    <w:qFormat/>
    <w:rsid w:val="00BA2BCE"/>
    <w:pPr>
      <w:keepNext/>
      <w:keepLines/>
      <w:spacing w:after="173" w:line="259" w:lineRule="auto"/>
      <w:ind w:left="563" w:hanging="567"/>
      <w:jc w:val="center"/>
      <w:outlineLvl w:val="0"/>
    </w:pPr>
    <w:rPr>
      <w:rFonts w:asciiTheme="majorBidi" w:hAnsiTheme="majorBidi"/>
      <w:b/>
      <w:bCs/>
      <w:color w:val="000000" w:themeColor="text1"/>
      <w:sz w:val="27"/>
      <w:szCs w:val="27"/>
    </w:rPr>
  </w:style>
  <w:style w:type="paragraph" w:customStyle="1" w:styleId="GAIAACJdown">
    <w:name w:val="GAIA ACJ down"/>
    <w:basedOn w:val="a0"/>
    <w:autoRedefine/>
    <w:qFormat/>
    <w:rsid w:val="00BA2BCE"/>
    <w:pPr>
      <w:spacing w:after="0" w:line="259" w:lineRule="auto"/>
      <w:ind w:firstLine="0"/>
    </w:pPr>
    <w:rPr>
      <w:i/>
      <w:sz w:val="20"/>
    </w:rPr>
  </w:style>
  <w:style w:type="paragraph" w:customStyle="1" w:styleId="GAJ">
    <w:name w:val="GAJ"/>
    <w:basedOn w:val="GAIAnormal"/>
    <w:autoRedefine/>
    <w:qFormat/>
    <w:rsid w:val="00BA2BCE"/>
    <w:pPr>
      <w:spacing w:before="0"/>
    </w:pPr>
    <w:rPr>
      <w:rFonts w:cstheme="majorBidi"/>
      <w:b/>
    </w:rPr>
  </w:style>
  <w:style w:type="paragraph" w:customStyle="1" w:styleId="GAIA2ndlevel">
    <w:name w:val="GAIA 2nd level"/>
    <w:basedOn w:val="2"/>
    <w:autoRedefine/>
    <w:qFormat/>
    <w:rsid w:val="005616C8"/>
    <w:pPr>
      <w:numPr>
        <w:ilvl w:val="0"/>
        <w:numId w:val="0"/>
      </w:numPr>
    </w:pPr>
    <w:rPr>
      <w:rFonts w:ascii="American Typewriter" w:hAnsi="American Typewriter"/>
      <w:sz w:val="24"/>
      <w:szCs w:val="24"/>
    </w:rPr>
  </w:style>
  <w:style w:type="character" w:customStyle="1" w:styleId="20">
    <w:name w:val="כותרת 2 תו"/>
    <w:basedOn w:val="a1"/>
    <w:link w:val="2"/>
    <w:rsid w:val="00FF16BA"/>
    <w:rPr>
      <w:rFonts w:asciiTheme="majorHAnsi" w:eastAsiaTheme="majorEastAsia" w:hAnsiTheme="majorHAnsi" w:cstheme="majorBidi"/>
      <w:color w:val="0F4761" w:themeColor="accent1" w:themeShade="BF"/>
      <w:sz w:val="32"/>
      <w:szCs w:val="32"/>
    </w:rPr>
  </w:style>
  <w:style w:type="paragraph" w:customStyle="1" w:styleId="GAIA1stlevel">
    <w:name w:val="GAIA 1st level"/>
    <w:basedOn w:val="a0"/>
    <w:autoRedefine/>
    <w:qFormat/>
    <w:rsid w:val="00A82A87"/>
    <w:pPr>
      <w:jc w:val="center"/>
    </w:pPr>
    <w:rPr>
      <w:rFonts w:ascii="AMERICAN TYPEWRITER SEMIBOLD" w:eastAsiaTheme="majorEastAsia" w:hAnsi="AMERICAN TYPEWRITER SEMIBOLD"/>
      <w:bCs/>
      <w:color w:val="0F4761" w:themeColor="accent1" w:themeShade="BF"/>
      <w:sz w:val="32"/>
      <w:szCs w:val="28"/>
    </w:rPr>
  </w:style>
  <w:style w:type="character" w:customStyle="1" w:styleId="10">
    <w:name w:val="כותרת 1 תו"/>
    <w:basedOn w:val="a1"/>
    <w:link w:val="1"/>
    <w:rsid w:val="00FF16BA"/>
    <w:rPr>
      <w:rFonts w:asciiTheme="majorHAnsi" w:eastAsiaTheme="majorEastAsia" w:hAnsiTheme="majorHAnsi" w:cstheme="majorBidi"/>
      <w:color w:val="0F4761" w:themeColor="accent1" w:themeShade="BF"/>
      <w:sz w:val="40"/>
      <w:szCs w:val="40"/>
    </w:rPr>
  </w:style>
  <w:style w:type="character" w:customStyle="1" w:styleId="30">
    <w:name w:val="כותרת 3 תו"/>
    <w:basedOn w:val="a1"/>
    <w:link w:val="3"/>
    <w:uiPriority w:val="9"/>
    <w:rsid w:val="00E234DE"/>
    <w:rPr>
      <w:rFonts w:ascii="American Typewriter Light" w:eastAsiaTheme="majorEastAsia" w:hAnsi="American Typewriter Light" w:cs="Garamond"/>
      <w:color w:val="0F4761" w:themeColor="accent1" w:themeShade="BF"/>
    </w:rPr>
  </w:style>
  <w:style w:type="character" w:customStyle="1" w:styleId="40">
    <w:name w:val="כותרת 4 תו"/>
    <w:basedOn w:val="a1"/>
    <w:link w:val="4"/>
    <w:uiPriority w:val="9"/>
    <w:semiHidden/>
    <w:rsid w:val="00354108"/>
    <w:rPr>
      <w:rFonts w:eastAsiaTheme="majorEastAsia" w:cstheme="majorBidi"/>
      <w:i/>
      <w:iCs/>
      <w:color w:val="0F4761" w:themeColor="accent1" w:themeShade="BF"/>
      <w:sz w:val="22"/>
      <w:szCs w:val="22"/>
    </w:rPr>
  </w:style>
  <w:style w:type="character" w:customStyle="1" w:styleId="50">
    <w:name w:val="כותרת 5 תו"/>
    <w:basedOn w:val="a1"/>
    <w:link w:val="5"/>
    <w:uiPriority w:val="9"/>
    <w:semiHidden/>
    <w:rsid w:val="00354108"/>
    <w:rPr>
      <w:rFonts w:eastAsiaTheme="majorEastAsia" w:cstheme="majorBidi"/>
      <w:color w:val="0F4761" w:themeColor="accent1" w:themeShade="BF"/>
      <w:sz w:val="22"/>
      <w:szCs w:val="22"/>
    </w:rPr>
  </w:style>
  <w:style w:type="character" w:customStyle="1" w:styleId="60">
    <w:name w:val="כותרת 6 תו"/>
    <w:basedOn w:val="a1"/>
    <w:link w:val="6"/>
    <w:uiPriority w:val="9"/>
    <w:semiHidden/>
    <w:rsid w:val="00354108"/>
    <w:rPr>
      <w:rFonts w:eastAsiaTheme="majorEastAsia" w:cstheme="majorBidi"/>
      <w:i/>
      <w:iCs/>
      <w:color w:val="595959" w:themeColor="text1" w:themeTint="A6"/>
      <w:sz w:val="22"/>
      <w:szCs w:val="22"/>
    </w:rPr>
  </w:style>
  <w:style w:type="character" w:customStyle="1" w:styleId="70">
    <w:name w:val="כותרת 7 תו"/>
    <w:basedOn w:val="a1"/>
    <w:link w:val="7"/>
    <w:uiPriority w:val="9"/>
    <w:semiHidden/>
    <w:rsid w:val="00354108"/>
    <w:rPr>
      <w:rFonts w:eastAsiaTheme="majorEastAsia" w:cstheme="majorBidi"/>
      <w:color w:val="595959" w:themeColor="text1" w:themeTint="A6"/>
      <w:sz w:val="22"/>
      <w:szCs w:val="22"/>
    </w:rPr>
  </w:style>
  <w:style w:type="character" w:customStyle="1" w:styleId="80">
    <w:name w:val="כותרת 8 תו"/>
    <w:basedOn w:val="a1"/>
    <w:link w:val="8"/>
    <w:uiPriority w:val="9"/>
    <w:semiHidden/>
    <w:rsid w:val="00354108"/>
    <w:rPr>
      <w:rFonts w:eastAsiaTheme="majorEastAsia" w:cstheme="majorBidi"/>
      <w:i/>
      <w:iCs/>
      <w:color w:val="272727" w:themeColor="text1" w:themeTint="D8"/>
      <w:sz w:val="22"/>
      <w:szCs w:val="22"/>
    </w:rPr>
  </w:style>
  <w:style w:type="character" w:customStyle="1" w:styleId="90">
    <w:name w:val="כותרת 9 תו"/>
    <w:basedOn w:val="a1"/>
    <w:link w:val="9"/>
    <w:uiPriority w:val="9"/>
    <w:semiHidden/>
    <w:rsid w:val="00354108"/>
    <w:rPr>
      <w:rFonts w:eastAsiaTheme="majorEastAsia" w:cstheme="majorBidi"/>
      <w:color w:val="272727" w:themeColor="text1" w:themeTint="D8"/>
      <w:sz w:val="22"/>
      <w:szCs w:val="22"/>
    </w:rPr>
  </w:style>
  <w:style w:type="paragraph" w:styleId="a6">
    <w:name w:val="Title"/>
    <w:basedOn w:val="a0"/>
    <w:next w:val="a0"/>
    <w:link w:val="a7"/>
    <w:uiPriority w:val="10"/>
    <w:qFormat/>
    <w:rsid w:val="00354108"/>
    <w:pPr>
      <w:spacing w:after="80"/>
      <w:contextualSpacing/>
    </w:pPr>
    <w:rPr>
      <w:rFonts w:asciiTheme="majorHAnsi" w:eastAsiaTheme="majorEastAsia" w:hAnsiTheme="majorHAnsi"/>
      <w:color w:val="auto"/>
      <w:spacing w:val="-10"/>
      <w:kern w:val="28"/>
      <w:sz w:val="56"/>
      <w:szCs w:val="56"/>
    </w:rPr>
  </w:style>
  <w:style w:type="character" w:customStyle="1" w:styleId="a7">
    <w:name w:val="כותרת טקסט תו"/>
    <w:basedOn w:val="a1"/>
    <w:link w:val="a6"/>
    <w:uiPriority w:val="10"/>
    <w:rsid w:val="00354108"/>
    <w:rPr>
      <w:rFonts w:asciiTheme="majorHAnsi" w:eastAsiaTheme="majorEastAsia" w:hAnsiTheme="majorHAnsi" w:cstheme="majorBidi"/>
      <w:spacing w:val="-10"/>
      <w:kern w:val="28"/>
      <w:sz w:val="56"/>
      <w:szCs w:val="56"/>
    </w:rPr>
  </w:style>
  <w:style w:type="paragraph" w:styleId="a">
    <w:name w:val="Subtitle"/>
    <w:basedOn w:val="a0"/>
    <w:next w:val="a0"/>
    <w:link w:val="a8"/>
    <w:uiPriority w:val="11"/>
    <w:qFormat/>
    <w:rsid w:val="00354108"/>
    <w:pPr>
      <w:numPr>
        <w:ilvl w:val="1"/>
        <w:numId w:val="2"/>
      </w:numPr>
      <w:spacing w:after="160"/>
      <w:ind w:left="443" w:hanging="443"/>
    </w:pPr>
    <w:rPr>
      <w:rFonts w:asciiTheme="minorHAnsi" w:eastAsiaTheme="majorEastAsia" w:hAnsiTheme="minorHAnsi"/>
      <w:color w:val="595959" w:themeColor="text1" w:themeTint="A6"/>
      <w:spacing w:val="15"/>
      <w:sz w:val="28"/>
      <w:szCs w:val="28"/>
    </w:rPr>
  </w:style>
  <w:style w:type="character" w:customStyle="1" w:styleId="a8">
    <w:name w:val="כותרת משנה תו"/>
    <w:basedOn w:val="a1"/>
    <w:link w:val="a"/>
    <w:uiPriority w:val="11"/>
    <w:rsid w:val="00354108"/>
    <w:rPr>
      <w:rFonts w:eastAsiaTheme="majorEastAsia" w:cstheme="majorBidi"/>
      <w:color w:val="595959" w:themeColor="text1" w:themeTint="A6"/>
      <w:spacing w:val="15"/>
      <w:sz w:val="28"/>
      <w:szCs w:val="28"/>
    </w:rPr>
  </w:style>
  <w:style w:type="paragraph" w:styleId="a9">
    <w:name w:val="Quote"/>
    <w:basedOn w:val="a0"/>
    <w:next w:val="a0"/>
    <w:link w:val="aa"/>
    <w:uiPriority w:val="29"/>
    <w:qFormat/>
    <w:rsid w:val="00354108"/>
    <w:pPr>
      <w:spacing w:before="160" w:after="160"/>
      <w:jc w:val="center"/>
    </w:pPr>
    <w:rPr>
      <w:i/>
      <w:iCs/>
      <w:color w:val="404040" w:themeColor="text1" w:themeTint="BF"/>
    </w:rPr>
  </w:style>
  <w:style w:type="character" w:customStyle="1" w:styleId="aa">
    <w:name w:val="ציטוט תו"/>
    <w:basedOn w:val="a1"/>
    <w:link w:val="a9"/>
    <w:uiPriority w:val="29"/>
    <w:rsid w:val="00354108"/>
    <w:rPr>
      <w:rFonts w:ascii="Times New Roman" w:hAnsi="Times New Roman" w:cstheme="majorBidi"/>
      <w:i/>
      <w:iCs/>
      <w:color w:val="404040" w:themeColor="text1" w:themeTint="BF"/>
      <w:sz w:val="22"/>
      <w:szCs w:val="22"/>
    </w:rPr>
  </w:style>
  <w:style w:type="paragraph" w:styleId="ab">
    <w:name w:val="List Paragraph"/>
    <w:basedOn w:val="a0"/>
    <w:uiPriority w:val="34"/>
    <w:qFormat/>
    <w:rsid w:val="00354108"/>
    <w:pPr>
      <w:ind w:left="720"/>
      <w:contextualSpacing/>
    </w:pPr>
  </w:style>
  <w:style w:type="character" w:styleId="ac">
    <w:name w:val="Intense Emphasis"/>
    <w:basedOn w:val="a1"/>
    <w:uiPriority w:val="21"/>
    <w:qFormat/>
    <w:rsid w:val="00354108"/>
    <w:rPr>
      <w:i/>
      <w:iCs/>
      <w:color w:val="0F4761" w:themeColor="accent1" w:themeShade="BF"/>
    </w:rPr>
  </w:style>
  <w:style w:type="paragraph" w:styleId="ad">
    <w:name w:val="Intense Quote"/>
    <w:basedOn w:val="a0"/>
    <w:next w:val="a0"/>
    <w:link w:val="ae"/>
    <w:uiPriority w:val="30"/>
    <w:qFormat/>
    <w:rsid w:val="00354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ציטוט חזק תו"/>
    <w:basedOn w:val="a1"/>
    <w:link w:val="ad"/>
    <w:uiPriority w:val="30"/>
    <w:rsid w:val="00354108"/>
    <w:rPr>
      <w:rFonts w:ascii="Times New Roman" w:hAnsi="Times New Roman" w:cstheme="majorBidi"/>
      <w:i/>
      <w:iCs/>
      <w:color w:val="0F4761" w:themeColor="accent1" w:themeShade="BF"/>
      <w:sz w:val="22"/>
      <w:szCs w:val="22"/>
    </w:rPr>
  </w:style>
  <w:style w:type="character" w:styleId="af">
    <w:name w:val="Intense Reference"/>
    <w:basedOn w:val="a1"/>
    <w:uiPriority w:val="32"/>
    <w:qFormat/>
    <w:rsid w:val="00354108"/>
    <w:rPr>
      <w:b/>
      <w:bCs/>
      <w:smallCaps/>
      <w:color w:val="0F4761" w:themeColor="accent1" w:themeShade="BF"/>
      <w:spacing w:val="5"/>
    </w:rPr>
  </w:style>
  <w:style w:type="paragraph" w:styleId="af0">
    <w:name w:val="header"/>
    <w:basedOn w:val="a0"/>
    <w:link w:val="af1"/>
    <w:uiPriority w:val="99"/>
    <w:unhideWhenUsed/>
    <w:rsid w:val="00354108"/>
    <w:pPr>
      <w:tabs>
        <w:tab w:val="center" w:pos="4153"/>
        <w:tab w:val="right" w:pos="8306"/>
      </w:tabs>
      <w:spacing w:after="0" w:line="240" w:lineRule="auto"/>
    </w:pPr>
  </w:style>
  <w:style w:type="character" w:customStyle="1" w:styleId="af1">
    <w:name w:val="כותרת עליונה תו"/>
    <w:basedOn w:val="a1"/>
    <w:link w:val="af0"/>
    <w:uiPriority w:val="99"/>
    <w:rsid w:val="00354108"/>
    <w:rPr>
      <w:rFonts w:ascii="Garamond" w:hAnsi="Garamond" w:cs="Garamond"/>
      <w:color w:val="000000"/>
    </w:rPr>
  </w:style>
  <w:style w:type="character" w:styleId="af2">
    <w:name w:val="page number"/>
    <w:basedOn w:val="a1"/>
    <w:uiPriority w:val="99"/>
    <w:semiHidden/>
    <w:unhideWhenUsed/>
    <w:rsid w:val="00354108"/>
  </w:style>
  <w:style w:type="character" w:styleId="af3">
    <w:name w:val="Emphasis"/>
    <w:basedOn w:val="a1"/>
    <w:uiPriority w:val="20"/>
    <w:qFormat/>
    <w:rsid w:val="00354108"/>
    <w:rPr>
      <w:i/>
      <w:iCs/>
    </w:rPr>
  </w:style>
  <w:style w:type="character" w:styleId="af4">
    <w:name w:val="Strong"/>
    <w:basedOn w:val="a1"/>
    <w:uiPriority w:val="22"/>
    <w:qFormat/>
    <w:rsid w:val="00354108"/>
    <w:rPr>
      <w:b/>
      <w:bCs/>
    </w:rPr>
  </w:style>
  <w:style w:type="paragraph" w:styleId="NormalWeb">
    <w:name w:val="Normal (Web)"/>
    <w:basedOn w:val="a0"/>
    <w:uiPriority w:val="99"/>
    <w:semiHidden/>
    <w:unhideWhenUsed/>
    <w:rsid w:val="00691230"/>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426">
      <w:bodyDiv w:val="1"/>
      <w:marLeft w:val="0"/>
      <w:marRight w:val="0"/>
      <w:marTop w:val="0"/>
      <w:marBottom w:val="0"/>
      <w:divBdr>
        <w:top w:val="none" w:sz="0" w:space="0" w:color="auto"/>
        <w:left w:val="none" w:sz="0" w:space="0" w:color="auto"/>
        <w:bottom w:val="none" w:sz="0" w:space="0" w:color="auto"/>
        <w:right w:val="none" w:sz="0" w:space="0" w:color="auto"/>
      </w:divBdr>
    </w:div>
    <w:div w:id="47845106">
      <w:bodyDiv w:val="1"/>
      <w:marLeft w:val="0"/>
      <w:marRight w:val="0"/>
      <w:marTop w:val="0"/>
      <w:marBottom w:val="0"/>
      <w:divBdr>
        <w:top w:val="none" w:sz="0" w:space="0" w:color="auto"/>
        <w:left w:val="none" w:sz="0" w:space="0" w:color="auto"/>
        <w:bottom w:val="none" w:sz="0" w:space="0" w:color="auto"/>
        <w:right w:val="none" w:sz="0" w:space="0" w:color="auto"/>
      </w:divBdr>
    </w:div>
    <w:div w:id="169636531">
      <w:bodyDiv w:val="1"/>
      <w:marLeft w:val="0"/>
      <w:marRight w:val="0"/>
      <w:marTop w:val="0"/>
      <w:marBottom w:val="0"/>
      <w:divBdr>
        <w:top w:val="none" w:sz="0" w:space="0" w:color="auto"/>
        <w:left w:val="none" w:sz="0" w:space="0" w:color="auto"/>
        <w:bottom w:val="none" w:sz="0" w:space="0" w:color="auto"/>
        <w:right w:val="none" w:sz="0" w:space="0" w:color="auto"/>
      </w:divBdr>
    </w:div>
    <w:div w:id="353311020">
      <w:bodyDiv w:val="1"/>
      <w:marLeft w:val="0"/>
      <w:marRight w:val="0"/>
      <w:marTop w:val="0"/>
      <w:marBottom w:val="0"/>
      <w:divBdr>
        <w:top w:val="none" w:sz="0" w:space="0" w:color="auto"/>
        <w:left w:val="none" w:sz="0" w:space="0" w:color="auto"/>
        <w:bottom w:val="none" w:sz="0" w:space="0" w:color="auto"/>
        <w:right w:val="none" w:sz="0" w:space="0" w:color="auto"/>
      </w:divBdr>
    </w:div>
    <w:div w:id="402677182">
      <w:bodyDiv w:val="1"/>
      <w:marLeft w:val="0"/>
      <w:marRight w:val="0"/>
      <w:marTop w:val="0"/>
      <w:marBottom w:val="0"/>
      <w:divBdr>
        <w:top w:val="none" w:sz="0" w:space="0" w:color="auto"/>
        <w:left w:val="none" w:sz="0" w:space="0" w:color="auto"/>
        <w:bottom w:val="none" w:sz="0" w:space="0" w:color="auto"/>
        <w:right w:val="none" w:sz="0" w:space="0" w:color="auto"/>
      </w:divBdr>
    </w:div>
    <w:div w:id="586573479">
      <w:bodyDiv w:val="1"/>
      <w:marLeft w:val="0"/>
      <w:marRight w:val="0"/>
      <w:marTop w:val="0"/>
      <w:marBottom w:val="0"/>
      <w:divBdr>
        <w:top w:val="none" w:sz="0" w:space="0" w:color="auto"/>
        <w:left w:val="none" w:sz="0" w:space="0" w:color="auto"/>
        <w:bottom w:val="none" w:sz="0" w:space="0" w:color="auto"/>
        <w:right w:val="none" w:sz="0" w:space="0" w:color="auto"/>
      </w:divBdr>
    </w:div>
    <w:div w:id="617490185">
      <w:bodyDiv w:val="1"/>
      <w:marLeft w:val="0"/>
      <w:marRight w:val="0"/>
      <w:marTop w:val="0"/>
      <w:marBottom w:val="0"/>
      <w:divBdr>
        <w:top w:val="none" w:sz="0" w:space="0" w:color="auto"/>
        <w:left w:val="none" w:sz="0" w:space="0" w:color="auto"/>
        <w:bottom w:val="none" w:sz="0" w:space="0" w:color="auto"/>
        <w:right w:val="none" w:sz="0" w:space="0" w:color="auto"/>
      </w:divBdr>
    </w:div>
    <w:div w:id="699159692">
      <w:bodyDiv w:val="1"/>
      <w:marLeft w:val="0"/>
      <w:marRight w:val="0"/>
      <w:marTop w:val="0"/>
      <w:marBottom w:val="0"/>
      <w:divBdr>
        <w:top w:val="none" w:sz="0" w:space="0" w:color="auto"/>
        <w:left w:val="none" w:sz="0" w:space="0" w:color="auto"/>
        <w:bottom w:val="none" w:sz="0" w:space="0" w:color="auto"/>
        <w:right w:val="none" w:sz="0" w:space="0" w:color="auto"/>
      </w:divBdr>
    </w:div>
    <w:div w:id="701898587">
      <w:bodyDiv w:val="1"/>
      <w:marLeft w:val="0"/>
      <w:marRight w:val="0"/>
      <w:marTop w:val="0"/>
      <w:marBottom w:val="0"/>
      <w:divBdr>
        <w:top w:val="none" w:sz="0" w:space="0" w:color="auto"/>
        <w:left w:val="none" w:sz="0" w:space="0" w:color="auto"/>
        <w:bottom w:val="none" w:sz="0" w:space="0" w:color="auto"/>
        <w:right w:val="none" w:sz="0" w:space="0" w:color="auto"/>
      </w:divBdr>
    </w:div>
    <w:div w:id="719093638">
      <w:bodyDiv w:val="1"/>
      <w:marLeft w:val="0"/>
      <w:marRight w:val="0"/>
      <w:marTop w:val="0"/>
      <w:marBottom w:val="0"/>
      <w:divBdr>
        <w:top w:val="none" w:sz="0" w:space="0" w:color="auto"/>
        <w:left w:val="none" w:sz="0" w:space="0" w:color="auto"/>
        <w:bottom w:val="none" w:sz="0" w:space="0" w:color="auto"/>
        <w:right w:val="none" w:sz="0" w:space="0" w:color="auto"/>
      </w:divBdr>
    </w:div>
    <w:div w:id="778599473">
      <w:bodyDiv w:val="1"/>
      <w:marLeft w:val="0"/>
      <w:marRight w:val="0"/>
      <w:marTop w:val="0"/>
      <w:marBottom w:val="0"/>
      <w:divBdr>
        <w:top w:val="none" w:sz="0" w:space="0" w:color="auto"/>
        <w:left w:val="none" w:sz="0" w:space="0" w:color="auto"/>
        <w:bottom w:val="none" w:sz="0" w:space="0" w:color="auto"/>
        <w:right w:val="none" w:sz="0" w:space="0" w:color="auto"/>
      </w:divBdr>
    </w:div>
    <w:div w:id="926963909">
      <w:bodyDiv w:val="1"/>
      <w:marLeft w:val="0"/>
      <w:marRight w:val="0"/>
      <w:marTop w:val="0"/>
      <w:marBottom w:val="0"/>
      <w:divBdr>
        <w:top w:val="none" w:sz="0" w:space="0" w:color="auto"/>
        <w:left w:val="none" w:sz="0" w:space="0" w:color="auto"/>
        <w:bottom w:val="none" w:sz="0" w:space="0" w:color="auto"/>
        <w:right w:val="none" w:sz="0" w:space="0" w:color="auto"/>
      </w:divBdr>
    </w:div>
    <w:div w:id="939336738">
      <w:bodyDiv w:val="1"/>
      <w:marLeft w:val="0"/>
      <w:marRight w:val="0"/>
      <w:marTop w:val="0"/>
      <w:marBottom w:val="0"/>
      <w:divBdr>
        <w:top w:val="none" w:sz="0" w:space="0" w:color="auto"/>
        <w:left w:val="none" w:sz="0" w:space="0" w:color="auto"/>
        <w:bottom w:val="none" w:sz="0" w:space="0" w:color="auto"/>
        <w:right w:val="none" w:sz="0" w:space="0" w:color="auto"/>
      </w:divBdr>
    </w:div>
    <w:div w:id="1002657901">
      <w:bodyDiv w:val="1"/>
      <w:marLeft w:val="0"/>
      <w:marRight w:val="0"/>
      <w:marTop w:val="0"/>
      <w:marBottom w:val="0"/>
      <w:divBdr>
        <w:top w:val="none" w:sz="0" w:space="0" w:color="auto"/>
        <w:left w:val="none" w:sz="0" w:space="0" w:color="auto"/>
        <w:bottom w:val="none" w:sz="0" w:space="0" w:color="auto"/>
        <w:right w:val="none" w:sz="0" w:space="0" w:color="auto"/>
      </w:divBdr>
    </w:div>
    <w:div w:id="1028415458">
      <w:bodyDiv w:val="1"/>
      <w:marLeft w:val="0"/>
      <w:marRight w:val="0"/>
      <w:marTop w:val="0"/>
      <w:marBottom w:val="0"/>
      <w:divBdr>
        <w:top w:val="none" w:sz="0" w:space="0" w:color="auto"/>
        <w:left w:val="none" w:sz="0" w:space="0" w:color="auto"/>
        <w:bottom w:val="none" w:sz="0" w:space="0" w:color="auto"/>
        <w:right w:val="none" w:sz="0" w:space="0" w:color="auto"/>
      </w:divBdr>
    </w:div>
    <w:div w:id="1066613125">
      <w:bodyDiv w:val="1"/>
      <w:marLeft w:val="0"/>
      <w:marRight w:val="0"/>
      <w:marTop w:val="0"/>
      <w:marBottom w:val="0"/>
      <w:divBdr>
        <w:top w:val="none" w:sz="0" w:space="0" w:color="auto"/>
        <w:left w:val="none" w:sz="0" w:space="0" w:color="auto"/>
        <w:bottom w:val="none" w:sz="0" w:space="0" w:color="auto"/>
        <w:right w:val="none" w:sz="0" w:space="0" w:color="auto"/>
      </w:divBdr>
    </w:div>
    <w:div w:id="1176653316">
      <w:bodyDiv w:val="1"/>
      <w:marLeft w:val="0"/>
      <w:marRight w:val="0"/>
      <w:marTop w:val="0"/>
      <w:marBottom w:val="0"/>
      <w:divBdr>
        <w:top w:val="none" w:sz="0" w:space="0" w:color="auto"/>
        <w:left w:val="none" w:sz="0" w:space="0" w:color="auto"/>
        <w:bottom w:val="none" w:sz="0" w:space="0" w:color="auto"/>
        <w:right w:val="none" w:sz="0" w:space="0" w:color="auto"/>
      </w:divBdr>
    </w:div>
    <w:div w:id="1475294135">
      <w:bodyDiv w:val="1"/>
      <w:marLeft w:val="0"/>
      <w:marRight w:val="0"/>
      <w:marTop w:val="0"/>
      <w:marBottom w:val="0"/>
      <w:divBdr>
        <w:top w:val="none" w:sz="0" w:space="0" w:color="auto"/>
        <w:left w:val="none" w:sz="0" w:space="0" w:color="auto"/>
        <w:bottom w:val="none" w:sz="0" w:space="0" w:color="auto"/>
        <w:right w:val="none" w:sz="0" w:space="0" w:color="auto"/>
      </w:divBdr>
    </w:div>
    <w:div w:id="1866938192">
      <w:bodyDiv w:val="1"/>
      <w:marLeft w:val="0"/>
      <w:marRight w:val="0"/>
      <w:marTop w:val="0"/>
      <w:marBottom w:val="0"/>
      <w:divBdr>
        <w:top w:val="none" w:sz="0" w:space="0" w:color="auto"/>
        <w:left w:val="none" w:sz="0" w:space="0" w:color="auto"/>
        <w:bottom w:val="none" w:sz="0" w:space="0" w:color="auto"/>
        <w:right w:val="none" w:sz="0" w:space="0" w:color="auto"/>
      </w:divBdr>
    </w:div>
    <w:div w:id="1891184962">
      <w:bodyDiv w:val="1"/>
      <w:marLeft w:val="0"/>
      <w:marRight w:val="0"/>
      <w:marTop w:val="0"/>
      <w:marBottom w:val="0"/>
      <w:divBdr>
        <w:top w:val="none" w:sz="0" w:space="0" w:color="auto"/>
        <w:left w:val="none" w:sz="0" w:space="0" w:color="auto"/>
        <w:bottom w:val="none" w:sz="0" w:space="0" w:color="auto"/>
        <w:right w:val="none" w:sz="0" w:space="0" w:color="auto"/>
      </w:divBdr>
    </w:div>
    <w:div w:id="1912961450">
      <w:bodyDiv w:val="1"/>
      <w:marLeft w:val="0"/>
      <w:marRight w:val="0"/>
      <w:marTop w:val="0"/>
      <w:marBottom w:val="0"/>
      <w:divBdr>
        <w:top w:val="none" w:sz="0" w:space="0" w:color="auto"/>
        <w:left w:val="none" w:sz="0" w:space="0" w:color="auto"/>
        <w:bottom w:val="none" w:sz="0" w:space="0" w:color="auto"/>
        <w:right w:val="none" w:sz="0" w:space="0" w:color="auto"/>
      </w:divBdr>
    </w:div>
    <w:div w:id="1970283238">
      <w:bodyDiv w:val="1"/>
      <w:marLeft w:val="0"/>
      <w:marRight w:val="0"/>
      <w:marTop w:val="0"/>
      <w:marBottom w:val="0"/>
      <w:divBdr>
        <w:top w:val="none" w:sz="0" w:space="0" w:color="auto"/>
        <w:left w:val="none" w:sz="0" w:space="0" w:color="auto"/>
        <w:bottom w:val="none" w:sz="0" w:space="0" w:color="auto"/>
        <w:right w:val="none" w:sz="0" w:space="0" w:color="auto"/>
      </w:divBdr>
    </w:div>
    <w:div w:id="20697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ielfuchs/Library/Group%20Containers/UBF8T346G9.Office/User%20Content.localized/Templates.localized/&#1514;&#1489;&#1504;&#1497;&#1514;%20&#1490;&#1488;&#1497;&#1492;%20&#1504;&#1511;&#1497;&#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BCE50-6934-DF41-8F97-2601B62D1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גאיה נקיה.dotx</Template>
  <TotalTime>1</TotalTime>
  <Pages>19</Pages>
  <Words>9670</Words>
  <Characters>48351</Characters>
  <Application>Microsoft Office Word</Application>
  <DocSecurity>0</DocSecurity>
  <Lines>402</Lines>
  <Paragraphs>115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אריאל פוקס</dc:creator>
  <cp:keywords/>
  <dc:description/>
  <cp:lastModifiedBy>Dr. Ariel Fuchs, PhD</cp:lastModifiedBy>
  <cp:revision>2</cp:revision>
  <dcterms:created xsi:type="dcterms:W3CDTF">2025-11-29T21:42:00Z</dcterms:created>
  <dcterms:modified xsi:type="dcterms:W3CDTF">2025-11-29T21:42:00Z</dcterms:modified>
</cp:coreProperties>
</file>